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Traffic Survey Scope of Works</w:t>
      </w:r>
    </w:p>
    <w:p>
      <w:r>
        <w:rPr>
          <w:b/>
        </w:rPr>
        <w:t>For council officers and traffic consultants</w:t>
      </w:r>
      <w:r>
        <w:t xml:space="preserve"> commissioning a survey.</w:t>
      </w:r>
    </w:p>
    <w:p>
      <w:r>
        <w:t>Use this brief to obtain comparable quotes and agree what constitutes a complete delivery. It covers field collection, analysis, supplier responsibilities and acceptance.</w:t>
      </w:r>
    </w:p>
    <w:p>
      <w:pPr>
        <w:pStyle w:val="Heading2"/>
      </w:pPr>
      <w:r>
        <w:t>How to use this template</w:t>
      </w:r>
    </w:p>
    <w:p>
      <w:r>
        <w:t>1. Replace every bracketed prompt and delete measures you do not need.</w:t>
        <w:br/>
        <w:t>2. Attach a marked location map and complete the schedules on pages 2 to 5.</w:t>
        <w:br/>
        <w:t>3. Check the worked example on page 6, then remove it and these instructions before issuing the brief.</w:t>
      </w:r>
    </w:p>
    <w:p>
      <w:r>
        <w:t>Use your organisation's procurement terms alongside this technical scope. The example's dates, periods and quality checks are illustrative, not standard requirements.</w:t>
      </w:r>
    </w:p>
    <w:p>
      <w:pPr>
        <w:pStyle w:val="Heading2"/>
      </w:pPr>
      <w:r>
        <w:t>1 Project and decision</w:t>
      </w:r>
    </w:p>
    <w:p>
      <w:pPr>
        <w:keepNext/>
        <w:spacing w:after="60"/>
      </w:pPr>
      <w:r>
        <w:rPr>
          <w:b/>
        </w:rPr>
        <w:t>Project and document control</w:t>
      </w:r>
    </w:p>
    <w:p>
      <w:pPr>
        <w:spacing w:after="180"/>
      </w:pPr>
      <w:r>
        <w:t>[Project name; council; reference; version; issue date; prepared by; technical reviewer]</w:t>
      </w:r>
    </w:p>
    <w:p>
      <w:pPr>
        <w:keepNext/>
        <w:spacing w:after="60"/>
      </w:pPr>
      <w:r>
        <w:rPr>
          <w:b/>
        </w:rPr>
        <w:t>Decision to be informed</w:t>
      </w:r>
    </w:p>
    <w:p>
      <w:pPr>
        <w:spacing w:after="180"/>
      </w:pPr>
      <w:r>
        <w:t>[The decision owner, question to be answered and how the results will be used]</w:t>
      </w:r>
    </w:p>
    <w:p>
      <w:pPr>
        <w:keepNext/>
        <w:spacing w:after="60"/>
      </w:pPr>
      <w:r>
        <w:rPr>
          <w:b/>
        </w:rPr>
        <w:t>Evidence already held and remaining gap</w:t>
      </w:r>
    </w:p>
    <w:p>
      <w:pPr>
        <w:spacing w:after="180"/>
      </w:pPr>
      <w:r>
        <w:t>[List source files and dates supplied; state exactly what this commission must add]</w:t>
      </w:r>
    </w:p>
    <w:p>
      <w:pPr>
        <w:keepNext/>
        <w:spacing w:after="60"/>
      </w:pPr>
      <w:r>
        <w:rPr>
          <w:b/>
        </w:rPr>
        <w:t>Commission boundary</w:t>
      </w:r>
    </w:p>
    <w:p>
      <w:pPr>
        <w:spacing w:after="180"/>
      </w:pPr>
      <w:r>
        <w:t>[Select new collection, analysis of existing data, or both. State locations and measures included; exclude treatment design, formal Road Safety Audit or modelling unless separately commissioned]</w:t>
      </w:r>
    </w:p>
    <w:p>
      <w:pPr>
        <w:keepNext/>
        <w:spacing w:after="60"/>
      </w:pPr>
      <w:r>
        <w:rPr>
          <w:b/>
        </w:rPr>
        <w:t>Contacts and dates</w:t>
      </w:r>
    </w:p>
    <w:p>
      <w:pPr>
        <w:spacing w:after="180"/>
      </w:pPr>
      <w:r>
        <w:t>[Council contact; quotation deadline; intended field window; draft and final delivery dates]</w:t>
      </w:r>
    </w:p>
    <w:p>
      <w:r>
        <w:br w:type="page"/>
      </w:r>
    </w:p>
    <w:p>
      <w:pPr>
        <w:pStyle w:val="Heading1"/>
      </w:pPr>
      <w:r>
        <w:t>2 Locations and collection</w:t>
      </w:r>
    </w:p>
    <w:p>
      <w:r>
        <w:t>Assign each collection point an ID. Use those IDs in the map, quotation, filenames and results. Duplicate schedule rows for additional points or periods.</w:t>
      </w:r>
    </w:p>
    <w:tbl>
      <w:tblPr>
        <w:tblW w:type="auto" w:w="0"/>
        <w:tblLayout w:type="fixed"/>
        <w:tblLook w:firstColumn="1" w:firstRow="1" w:lastColumn="0" w:lastRow="0" w:noHBand="0" w:noVBand="1" w:val="04A0"/>
      </w:tblPr>
      <w:tblGrid>
        <w:gridCol w:w="792"/>
        <w:gridCol w:w="5400"/>
        <w:gridCol w:w="4032"/>
      </w:tblGrid>
      <w:tr>
        <w:trPr>
          <w:cantSplit/>
          <w:tblHeader/>
        </w:trPr>
        <w:tc>
          <w:tcPr>
            <w:tcW w:type="dxa" w:w="792"/>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Point</w:t>
            </w:r>
          </w:p>
        </w:tc>
        <w:tc>
          <w:tcPr>
            <w:tcW w:type="dxa" w:w="5400"/>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Location and coverage</w:t>
            </w:r>
          </w:p>
        </w:tc>
        <w:tc>
          <w:tcPr>
            <w:tcW w:type="dxa" w:w="4032"/>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Collection window</w:t>
            </w:r>
          </w:p>
        </w:tc>
      </w:tr>
      <w:tr>
        <w:trPr>
          <w:cantSplit/>
        </w:trPr>
        <w:tc>
          <w:tcPr>
            <w:tcW w:type="dxa" w:w="792"/>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[P01]</w:t>
            </w:r>
          </w:p>
        </w:tc>
        <w:tc>
          <w:tcPr>
            <w:tcW w:type="dxa" w:w="5400"/>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[Road and limits; coordinates and datum; direction, lane or movement; map reference]</w:t>
            </w:r>
          </w:p>
        </w:tc>
        <w:tc>
          <w:tcPr>
            <w:tcW w:type="dxa" w:w="4032"/>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[Dates; days; start/end times; time zone; duration; repeats]</w:t>
            </w:r>
          </w:p>
        </w:tc>
      </w:tr>
      <w:tr>
        <w:trPr>
          <w:cantSplit/>
        </w:trPr>
        <w:tc>
          <w:tcPr>
            <w:tcW w:type="dxa" w:w="792"/>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[P02]</w:t>
            </w:r>
          </w:p>
        </w:tc>
        <w:tc>
          <w:tcPr>
            <w:tcW w:type="dxa" w:w="5400"/>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[Additional location and view, or delete this row]</w:t>
            </w:r>
          </w:p>
        </w:tc>
        <w:tc>
          <w:tcPr>
            <w:tcW w:type="dxa" w:w="4032"/>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[Collection window or concurrent with P01]</w:t>
            </w:r>
          </w:p>
        </w:tc>
      </w:tr>
    </w:tbl>
    <w:p>
      <w:pPr>
        <w:spacing w:after="0"/>
      </w:pPr>
      <w:r/>
    </w:p>
    <w:p>
      <w:pPr>
        <w:keepNext/>
        <w:spacing w:after="60"/>
      </w:pPr>
      <w:r>
        <w:rPr>
          <w:b/>
        </w:rPr>
        <w:t>Site context and collection points</w:t>
      </w:r>
    </w:p>
    <w:p>
      <w:pPr>
        <w:spacing w:after="180"/>
      </w:pPr>
      <w:r>
        <w:t>[Road function; posted speed environment; access; affected modes; proposed equipment locations or required view; map and photo attachments]</w:t>
      </w:r>
    </w:p>
    <w:p>
      <w:pPr>
        <w:keepNext/>
        <w:spacing w:after="60"/>
      </w:pPr>
      <w:r>
        <w:rPr>
          <w:b/>
        </w:rPr>
        <w:t>Representative conditions and replacement periods</w:t>
      </w:r>
    </w:p>
    <w:p>
      <w:pPr>
        <w:spacing w:after="180"/>
      </w:pPr>
      <w:r>
        <w:t>[School term or holiday; weekday/weekend; weather, roadworks, incidents and events to avoid or observe; cancellation decision owner; replacement-window process]</w:t>
      </w:r>
    </w:p>
    <w:p>
      <w:pPr>
        <w:pStyle w:val="Heading2"/>
      </w:pPr>
      <w:r>
        <w:t>Required measurements</w:t>
      </w:r>
    </w:p>
    <w:p>
      <w:r>
        <w:t>Retain only relevant rows. Define the unit, interval, classification and detection boundary for each required measure.</w:t>
      </w:r>
    </w:p>
    <w:tbl>
      <w:tblPr>
        <w:tblW w:type="auto" w:w="0"/>
        <w:tblLayout w:type="fixed"/>
        <w:tblLook w:firstColumn="1" w:firstRow="1" w:lastColumn="0" w:lastRow="0" w:noHBand="0" w:noVBand="1" w:val="04A0"/>
      </w:tblPr>
      <w:tblGrid>
        <w:gridCol w:w="2160"/>
        <w:gridCol w:w="8064"/>
      </w:tblGrid>
      <w:tr>
        <w:trPr>
          <w:cantSplit/>
          <w:tblHeader/>
        </w:trPr>
        <w:tc>
          <w:tcPr>
            <w:tcW w:type="dxa" w:w="2160"/>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Measure</w:t>
            </w:r>
          </w:p>
        </w:tc>
        <w:tc>
          <w:tcPr>
            <w:tcW w:type="dxa" w:w="8064"/>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Specification to complete</w:t>
            </w:r>
          </w:p>
        </w:tc>
      </w:tr>
      <w:tr>
        <w:trPr>
          <w:cantSplit/>
        </w:trPr>
        <w:tc>
          <w:tcPr>
            <w:tcW w:type="dxa" w:w="2160"/>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Volume and classes</w:t>
            </w:r>
          </w:p>
        </w:tc>
        <w:tc>
          <w:tcPr>
            <w:tcW w:type="dxa" w:w="8064"/>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[Point/direction; interval; vehicle-class scheme; unknown-class handling]</w:t>
            </w:r>
          </w:p>
        </w:tc>
      </w:tr>
      <w:tr>
        <w:trPr>
          <w:cantSplit/>
        </w:trPr>
        <w:tc>
          <w:tcPr>
            <w:tcW w:type="dxa" w:w="2160"/>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Speed</w:t>
            </w:r>
          </w:p>
        </w:tc>
        <w:tc>
          <w:tcPr>
            <w:tcW w:type="dxa" w:w="8064"/>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[Point/direction; units; distribution/bins; percentiles and exceedance definition; sample count; free-flow filter if required]</w:t>
            </w:r>
          </w:p>
        </w:tc>
      </w:tr>
      <w:tr>
        <w:trPr>
          <w:cantSplit/>
        </w:trPr>
        <w:tc>
          <w:tcPr>
            <w:tcW w:type="dxa" w:w="2160"/>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Turns and active travel</w:t>
            </w:r>
          </w:p>
        </w:tc>
        <w:tc>
          <w:tcPr>
            <w:tcW w:type="dxa" w:w="8064"/>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[Movement IDs; separate walking/cycling classes; crossing lines; time intervals]</w:t>
            </w:r>
          </w:p>
        </w:tc>
      </w:tr>
      <w:tr>
        <w:trPr>
          <w:cantSplit/>
        </w:trPr>
        <w:tc>
          <w:tcPr>
            <w:tcW w:type="dxa" w:w="2160"/>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Queues and parking</w:t>
            </w:r>
          </w:p>
        </w:tc>
        <w:tc>
          <w:tcPr>
            <w:tcW w:type="dxa" w:w="8064"/>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[Queue boundary and threshold; duration/frequency; parking area, occupancy or dwell-time definition]</w:t>
            </w:r>
          </w:p>
        </w:tc>
      </w:tr>
      <w:tr>
        <w:trPr>
          <w:cantSplit/>
        </w:trPr>
        <w:tc>
          <w:tcPr>
            <w:tcW w:type="dxa" w:w="2160"/>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Interactions or conflicts</w:t>
            </w:r>
          </w:p>
        </w:tc>
        <w:tc>
          <w:tcPr>
            <w:tcW w:type="dxa" w:w="8064"/>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[Event definition; trajectory or review method; exposure denominator; manually verified examples; limitations]</w:t>
            </w:r>
          </w:p>
        </w:tc>
      </w:tr>
    </w:tbl>
    <w:p>
      <w:pPr>
        <w:spacing w:after="0"/>
      </w:pPr>
      <w:r/>
    </w:p>
    <w:p>
      <w:pPr>
        <w:keepNext/>
        <w:spacing w:after="60"/>
      </w:pPr>
      <w:r>
        <w:rPr>
          <w:b/>
        </w:rPr>
        <w:t>Method and duration justification</w:t>
      </w:r>
    </w:p>
    <w:p>
      <w:pPr>
        <w:spacing w:after="180"/>
      </w:pPr>
      <w:r>
        <w:t>[Specified method or supplier proposal; why it captures the required measures and periods; sampling rationale; site constraints and exclusions]</w:t>
      </w:r>
    </w:p>
    <w:p>
      <w:r>
        <w:br w:type="page"/>
      </w:r>
    </w:p>
    <w:p>
      <w:pPr>
        <w:pStyle w:val="Heading1"/>
      </w:pPr>
      <w:r>
        <w:t>3 Deliverables and quality checks</w:t>
      </w:r>
    </w:p>
    <w:p>
      <w:r>
        <w:t>Confirm the output structure before fieldwork. The supplier must identify any requested measure that its method cannot reliably provide.</w:t>
      </w:r>
    </w:p>
    <w:tbl>
      <w:tblPr>
        <w:tblW w:type="auto" w:w="0"/>
        <w:tblLayout w:type="fixed"/>
        <w:tblLook w:firstColumn="1" w:firstRow="1" w:lastColumn="0" w:lastRow="0" w:noHBand="0" w:noVBand="1" w:val="04A0"/>
      </w:tblPr>
      <w:tblGrid>
        <w:gridCol w:w="2232"/>
        <w:gridCol w:w="7992"/>
      </w:tblGrid>
      <w:tr>
        <w:trPr>
          <w:cantSplit/>
          <w:tblHeader/>
        </w:trPr>
        <w:tc>
          <w:tcPr>
            <w:tcW w:type="dxa" w:w="2232"/>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Deliverable</w:t>
            </w:r>
          </w:p>
        </w:tc>
        <w:tc>
          <w:tcPr>
            <w:tcW w:type="dxa" w:w="7992"/>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Required contents</w:t>
            </w:r>
          </w:p>
        </w:tc>
      </w:tr>
      <w:tr>
        <w:trPr>
          <w:cantSplit/>
        </w:trPr>
        <w:tc>
          <w:tcPr>
            <w:tcW w:type="dxa" w:w="2232"/>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Collection record</w:t>
            </w:r>
          </w:p>
        </w:tc>
        <w:tc>
          <w:tcPr>
            <w:tcW w:type="dxa" w:w="7992"/>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Point IDs and map; dates and time zone; equipment and placement; configuration; observed conditions; start/finish and interruption log.</w:t>
            </w:r>
          </w:p>
        </w:tc>
      </w:tr>
      <w:tr>
        <w:trPr>
          <w:cantSplit/>
        </w:trPr>
        <w:tc>
          <w:tcPr>
            <w:tcW w:type="dxa" w:w="2232"/>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Source data</w:t>
            </w:r>
          </w:p>
        </w:tc>
        <w:tc>
          <w:tcPr>
            <w:tcW w:type="dxa" w:w="7992"/>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[Native records or permitted source extract; format; secure transfer]. Specify whether footage is included, retained temporarily or excluded. Do not require identifiable media by default.</w:t>
            </w:r>
          </w:p>
        </w:tc>
      </w:tr>
      <w:tr>
        <w:trPr>
          <w:cantSplit/>
        </w:trPr>
        <w:tc>
          <w:tcPr>
            <w:tcW w:type="dxa" w:w="2232"/>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Processed data</w:t>
            </w:r>
          </w:p>
        </w:tc>
        <w:tc>
          <w:tcPr>
            <w:tcW w:type="dxa" w:w="7992"/>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CSV or XLSX with point, direction/movement, interval, class, unit and value. Include sample count where relevant, quality flag and missing-data reason. Separate missing values from measured zeros.</w:t>
            </w:r>
          </w:p>
        </w:tc>
      </w:tr>
      <w:tr>
        <w:trPr>
          <w:cantSplit/>
        </w:trPr>
        <w:tc>
          <w:tcPr>
            <w:tcW w:type="dxa" w:w="2232"/>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Data dictionary</w:t>
            </w:r>
          </w:p>
        </w:tc>
        <w:tc>
          <w:tcPr>
            <w:tcW w:type="dxa" w:w="7992"/>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Column definitions; units; code lists; interval boundaries; time zone and daylight-saving treatment; derived measures and calculations.</w:t>
            </w:r>
          </w:p>
        </w:tc>
      </w:tr>
      <w:tr>
        <w:trPr>
          <w:cantSplit/>
        </w:trPr>
        <w:tc>
          <w:tcPr>
            <w:tcW w:type="dxa" w:w="2232"/>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Quality and coverage report</w:t>
            </w:r>
          </w:p>
        </w:tc>
        <w:tc>
          <w:tcPr>
            <w:tcW w:type="dxa" w:w="7992"/>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Expected versus delivered periods by point and measure; missing intervals; validation method and results; calibration or verification records; corrections and residual limits.</w:t>
            </w:r>
          </w:p>
        </w:tc>
      </w:tr>
      <w:tr>
        <w:trPr>
          <w:cantSplit/>
        </w:trPr>
        <w:tc>
          <w:tcPr>
            <w:tcW w:type="dxa" w:w="2232"/>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Results note</w:t>
            </w:r>
          </w:p>
        </w:tc>
        <w:tc>
          <w:tcPr>
            <w:tcW w:type="dxa" w:w="7992"/>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Answer the commissioned question, show relevant charts and comparisons, and explain what the collection cannot establish. [Length, formats and level of interpretation required].</w:t>
            </w:r>
          </w:p>
        </w:tc>
      </w:tr>
    </w:tbl>
    <w:p>
      <w:pPr>
        <w:spacing w:after="0"/>
      </w:pPr>
      <w:r/>
    </w:p>
    <w:p>
      <w:pPr>
        <w:pStyle w:val="Heading2"/>
      </w:pPr>
      <w:r>
        <w:t>Agree before collection</w:t>
      </w:r>
    </w:p>
    <w:p>
      <w:pPr>
        <w:keepNext/>
        <w:spacing w:after="60"/>
      </w:pPr>
      <w:r>
        <w:rPr>
          <w:b/>
        </w:rPr>
        <w:t>Sample output and naming</w:t>
      </w:r>
    </w:p>
    <w:p>
      <w:pPr>
        <w:spacing w:after="180"/>
      </w:pPr>
      <w:r>
        <w:t>[Supplier provides sample file, chart and dictionary by date. Council reviewer confirms columns, naming and map IDs]</w:t>
      </w:r>
    </w:p>
    <w:p>
      <w:pPr>
        <w:keepNext/>
        <w:spacing w:after="60"/>
      </w:pPr>
      <w:r>
        <w:rPr>
          <w:b/>
        </w:rPr>
        <w:t>Validation method and acceptance tolerance</w:t>
      </w:r>
    </w:p>
    <w:p>
      <w:pPr>
        <w:spacing w:after="180"/>
      </w:pPr>
      <w:r>
        <w:t>[Measures to check; manual or independent comparison; sample selection and size; allowable error; who approves. Do not substitute an unsupported accuracy claim]</w:t>
      </w:r>
    </w:p>
    <w:p>
      <w:pPr>
        <w:keepNext/>
        <w:spacing w:after="60"/>
      </w:pPr>
      <w:r>
        <w:rPr>
          <w:b/>
        </w:rPr>
        <w:t>Incomplete or failed collection</w:t>
      </w:r>
    </w:p>
    <w:p>
      <w:pPr>
        <w:spacing w:after="180"/>
      </w:pPr>
      <w:r>
        <w:t>[Notification deadline; minimum usable coverage by point/measure; replacement rules; responsibility and cost for failures; approval before pooling or imputing missing periods]</w:t>
      </w:r>
    </w:p>
    <w:p>
      <w:r>
        <w:t>A dataset with a large overall sample can still miss a critical movement or hour. Apply the agreed coverage and quality checks to each required point and measure.</w:t>
      </w:r>
    </w:p>
    <w:p>
      <w:r>
        <w:br w:type="page"/>
      </w:r>
    </w:p>
    <w:p>
      <w:pPr>
        <w:pStyle w:val="Heading1"/>
      </w:pPr>
      <w:r>
        <w:t>4 Responsibilities and supplier response</w:t>
      </w:r>
    </w:p>
    <w:p>
      <w:pPr>
        <w:pStyle w:val="Heading2"/>
      </w:pPr>
      <w:r>
        <w:t>Access and field responsibilities</w:t>
      </w:r>
    </w:p>
    <w:tbl>
      <w:tblPr>
        <w:tblW w:type="auto" w:w="0"/>
        <w:tblLayout w:type="fixed"/>
        <w:tblLook w:firstColumn="1" w:firstRow="1" w:lastColumn="0" w:lastRow="0" w:noHBand="0" w:noVBand="1" w:val="04A0"/>
      </w:tblPr>
      <w:tblGrid>
        <w:gridCol w:w="2376"/>
        <w:gridCol w:w="7848"/>
      </w:tblGrid>
      <w:tr>
        <w:trPr>
          <w:cantSplit/>
          <w:tblHeader/>
        </w:trPr>
        <w:tc>
          <w:tcPr>
            <w:tcW w:type="dxa" w:w="2376"/>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Responsibility</w:t>
            </w:r>
          </w:p>
        </w:tc>
        <w:tc>
          <w:tcPr>
            <w:tcW w:type="dxa" w:w="7848"/>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Owner and requirement</w:t>
            </w:r>
          </w:p>
        </w:tc>
      </w:tr>
      <w:tr>
        <w:trPr>
          <w:cantSplit/>
        </w:trPr>
        <w:tc>
          <w:tcPr>
            <w:tcW w:type="dxa" w:w="2376"/>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Site access and approvals</w:t>
            </w:r>
          </w:p>
        </w:tc>
        <w:tc>
          <w:tcPr>
            <w:tcW w:type="dxa" w:w="7848"/>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[Party obtaining landowner/road-authority permissions; permit references; access hours; pole or asset use; due dates]</w:t>
            </w:r>
          </w:p>
        </w:tc>
      </w:tr>
      <w:tr>
        <w:trPr>
          <w:cantSplit/>
        </w:trPr>
        <w:tc>
          <w:tcPr>
            <w:tcW w:type="dxa" w:w="2376"/>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Safe installation and removal</w:t>
            </w:r>
          </w:p>
        </w:tc>
        <w:tc>
          <w:tcPr>
            <w:tcW w:type="dxa" w:w="7848"/>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[Supplier method; traffic management responsibilities; public access; equipment security; incident contact; reinstatement]</w:t>
            </w:r>
          </w:p>
        </w:tc>
      </w:tr>
      <w:tr>
        <w:trPr>
          <w:cantSplit/>
        </w:trPr>
        <w:tc>
          <w:tcPr>
            <w:tcW w:type="dxa" w:w="2376"/>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Privacy and information handling</w:t>
            </w:r>
          </w:p>
        </w:tc>
        <w:tc>
          <w:tcPr>
            <w:tcW w:type="dxa" w:w="7848"/>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[Purpose and authorised users; signage/notice if required; minimisation/redaction; storage/access controls; transfer route; retention/deletion period; incident notification]</w:t>
            </w:r>
          </w:p>
        </w:tc>
      </w:tr>
      <w:tr>
        <w:trPr>
          <w:cantSplit/>
        </w:trPr>
        <w:tc>
          <w:tcPr>
            <w:tcW w:type="dxa" w:w="2376"/>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Variations and interruptions</w:t>
            </w:r>
          </w:p>
        </w:tc>
        <w:tc>
          <w:tcPr>
            <w:tcW w:type="dxa" w:w="7848"/>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[Authorised council approver; written scope/price/program approval before extra work; weather/event rescheduling and equipment-failure allocation]</w:t>
            </w:r>
          </w:p>
        </w:tc>
      </w:tr>
    </w:tbl>
    <w:p>
      <w:pPr>
        <w:spacing w:after="0"/>
      </w:pPr>
      <w:r/>
    </w:p>
    <w:p>
      <w:pPr>
        <w:pStyle w:val="Heading2"/>
      </w:pPr>
      <w:r>
        <w:t>Supplier quotation requirements</w:t>
      </w:r>
    </w:p>
    <w:p>
      <w:r>
        <w:t>Return a proposed method and marked collection plan, the coverage/duration rationale, sample outputs, quality checks, program and named technical lead. Identify assumptions, exclusions, subcontractors and any departure from this scope. Price optional work separately.</w:t>
      </w:r>
    </w:p>
    <w:p>
      <w:pPr>
        <w:pStyle w:val="Heading2"/>
      </w:pPr>
      <w:r>
        <w:t>Pricing schedule</w:t>
      </w:r>
    </w:p>
    <w:p>
      <w:r>
        <w:t>Council completes quantities or requests an explicit supplier assumption. Supplier completes rates and totals in AUD, with GST shown separately.</w:t>
      </w:r>
    </w:p>
    <w:tbl>
      <w:tblPr>
        <w:tblW w:type="auto" w:w="0"/>
        <w:tblLayout w:type="fixed"/>
        <w:tblLook w:firstColumn="1" w:firstRow="1" w:lastColumn="0" w:lastRow="0" w:noHBand="0" w:noVBand="1" w:val="04A0"/>
      </w:tblPr>
      <w:tblGrid>
        <w:gridCol w:w="3600"/>
        <w:gridCol w:w="3816"/>
        <w:gridCol w:w="2808"/>
      </w:tblGrid>
      <w:tr>
        <w:trPr>
          <w:cantSplit/>
          <w:tblHeader/>
        </w:trPr>
        <w:tc>
          <w:tcPr>
            <w:tcW w:type="dxa" w:w="3600"/>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Item</w:t>
            </w:r>
          </w:p>
        </w:tc>
        <w:tc>
          <w:tcPr>
            <w:tcW w:type="dxa" w:w="3816"/>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Unit and quantity</w:t>
            </w:r>
          </w:p>
        </w:tc>
        <w:tc>
          <w:tcPr>
            <w:tcW w:type="dxa" w:w="2808"/>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Rate / total ex GST</w:t>
            </w:r>
          </w:p>
        </w:tc>
      </w:tr>
      <w:tr>
        <w:trPr>
          <w:cantSplit/>
        </w:trPr>
        <w:tc>
          <w:tcPr>
            <w:tcW w:type="dxa" w:w="3600"/>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Planning and mobilisation</w:t>
            </w:r>
          </w:p>
        </w:tc>
        <w:tc>
          <w:tcPr>
            <w:tcW w:type="dxa" w:w="3816"/>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[Lump sum]</w:t>
            </w:r>
          </w:p>
        </w:tc>
        <w:tc>
          <w:tcPr>
            <w:tcW w:type="dxa" w:w="2808"/>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[Supplier]</w:t>
            </w:r>
          </w:p>
        </w:tc>
      </w:tr>
      <w:tr>
        <w:trPr>
          <w:cantSplit/>
        </w:trPr>
        <w:tc>
          <w:tcPr>
            <w:tcW w:type="dxa" w:w="3600"/>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Field collection or source analysis</w:t>
            </w:r>
          </w:p>
        </w:tc>
        <w:tc>
          <w:tcPr>
            <w:tcW w:type="dxa" w:w="3816"/>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[Point-day / hour / file; quantity]</w:t>
            </w:r>
          </w:p>
        </w:tc>
        <w:tc>
          <w:tcPr>
            <w:tcW w:type="dxa" w:w="2808"/>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[Supplier]</w:t>
            </w:r>
          </w:p>
        </w:tc>
      </w:tr>
      <w:tr>
        <w:trPr>
          <w:cantSplit/>
        </w:trPr>
        <w:tc>
          <w:tcPr>
            <w:tcW w:type="dxa" w:w="3600"/>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Processing and quality checks</w:t>
            </w:r>
          </w:p>
        </w:tc>
        <w:tc>
          <w:tcPr>
            <w:tcW w:type="dxa" w:w="3816"/>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[Lump sum or stated unit]</w:t>
            </w:r>
          </w:p>
        </w:tc>
        <w:tc>
          <w:tcPr>
            <w:tcW w:type="dxa" w:w="2808"/>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[Supplier]</w:t>
            </w:r>
          </w:p>
        </w:tc>
      </w:tr>
      <w:tr>
        <w:trPr>
          <w:cantSplit/>
        </w:trPr>
        <w:tc>
          <w:tcPr>
            <w:tcW w:type="dxa" w:w="3600"/>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Reporting and review response</w:t>
            </w:r>
          </w:p>
        </w:tc>
        <w:tc>
          <w:tcPr>
            <w:tcW w:type="dxa" w:w="3816"/>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[Lump sum; review rounds]</w:t>
            </w:r>
          </w:p>
        </w:tc>
        <w:tc>
          <w:tcPr>
            <w:tcW w:type="dxa" w:w="2808"/>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[Supplier]</w:t>
            </w:r>
          </w:p>
        </w:tc>
      </w:tr>
      <w:tr>
        <w:trPr>
          <w:cantSplit/>
        </w:trPr>
        <w:tc>
          <w:tcPr>
            <w:tcW w:type="dxa" w:w="3600"/>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Optional or repeat work</w:t>
            </w:r>
          </w:p>
        </w:tc>
        <w:tc>
          <w:tcPr>
            <w:tcW w:type="dxa" w:w="3816"/>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[Item; trigger; unit rate]</w:t>
            </w:r>
          </w:p>
        </w:tc>
        <w:tc>
          <w:tcPr>
            <w:tcW w:type="dxa" w:w="2808"/>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[Supplier]</w:t>
            </w:r>
          </w:p>
        </w:tc>
      </w:tr>
      <w:tr>
        <w:trPr>
          <w:cantSplit/>
        </w:trPr>
        <w:tc>
          <w:tcPr>
            <w:tcW w:type="dxa" w:w="3600"/>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Total and GST</w:t>
            </w:r>
          </w:p>
        </w:tc>
        <w:tc>
          <w:tcPr>
            <w:tcW w:type="dxa" w:w="3816"/>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[Base total; GST; total incl GST]</w:t>
            </w:r>
          </w:p>
        </w:tc>
        <w:tc>
          <w:tcPr>
            <w:tcW w:type="dxa" w:w="2808"/>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[Supplier]</w:t>
            </w:r>
          </w:p>
        </w:tc>
      </w:tr>
    </w:tbl>
    <w:p>
      <w:pPr>
        <w:spacing w:after="0"/>
      </w:pPr>
      <w:r/>
    </w:p>
    <w:p>
      <w:r>
        <w:t>State quotation validity, lead time, payment milestones and assumptions about permits, traffic management, access and repeat visits. Apply the council's agreed purchase terms.</w:t>
      </w:r>
    </w:p>
    <w:p>
      <w:r>
        <w:br w:type="page"/>
      </w:r>
    </w:p>
    <w:p>
      <w:pPr>
        <w:pStyle w:val="Heading1"/>
      </w:pPr>
      <w:r>
        <w:t>5 Acceptance and handover</w:t>
      </w:r>
    </w:p>
    <w:p>
      <w:r>
        <w:t>Council completes the checks below against the agreed scope and supplier response. Record unresolved items and the required correction before accepting the delivery.</w:t>
      </w:r>
    </w:p>
    <w:tbl>
      <w:tblPr>
        <w:tblW w:type="auto" w:w="0"/>
        <w:tblLayout w:type="fixed"/>
        <w:tblLook w:firstColumn="1" w:firstRow="1" w:lastColumn="0" w:lastRow="0" w:noHBand="0" w:noVBand="1" w:val="04A0"/>
      </w:tblPr>
      <w:tblGrid>
        <w:gridCol w:w="2088"/>
        <w:gridCol w:w="6336"/>
        <w:gridCol w:w="1800"/>
      </w:tblGrid>
      <w:tr>
        <w:trPr>
          <w:cantSplit/>
          <w:tblHeader/>
        </w:trPr>
        <w:tc>
          <w:tcPr>
            <w:tcW w:type="dxa" w:w="2088"/>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Check</w:t>
            </w:r>
          </w:p>
        </w:tc>
        <w:tc>
          <w:tcPr>
            <w:tcW w:type="dxa" w:w="6336"/>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Evidence to inspect</w:t>
            </w:r>
          </w:p>
        </w:tc>
        <w:tc>
          <w:tcPr>
            <w:tcW w:type="dxa" w:w="1800"/>
            <w:vAlign w:val="center"/>
            <w:shd w:fill="262626"/>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color w:val="FFFFFF"/>
                <w:sz w:val="20"/>
              </w:rPr>
              <w:t>Pass or action</w:t>
            </w:r>
          </w:p>
        </w:tc>
      </w:tr>
      <w:tr>
        <w:trPr>
          <w:cantSplit/>
        </w:trPr>
        <w:tc>
          <w:tcPr>
            <w:tcW w:type="dxa" w:w="2088"/>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Correct location</w:t>
            </w:r>
          </w:p>
        </w:tc>
        <w:tc>
          <w:tcPr>
            <w:tcW w:type="dxa" w:w="6336"/>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Map IDs, directions and movement boundaries match the issued scope.</w:t>
            </w:r>
          </w:p>
        </w:tc>
        <w:tc>
          <w:tcPr>
            <w:tcW w:type="dxa" w:w="1800"/>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[Record]</w:t>
            </w:r>
          </w:p>
        </w:tc>
      </w:tr>
      <w:tr>
        <w:trPr>
          <w:cantSplit/>
        </w:trPr>
        <w:tc>
          <w:tcPr>
            <w:tcW w:type="dxa" w:w="2088"/>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Required coverage</w:t>
            </w:r>
          </w:p>
        </w:tc>
        <w:tc>
          <w:tcPr>
            <w:tcW w:type="dxa" w:w="6336"/>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Every point and measure meets the agreed window and usable-coverage requirement; gaps are listed.</w:t>
            </w:r>
          </w:p>
        </w:tc>
        <w:tc>
          <w:tcPr>
            <w:tcW w:type="dxa" w:w="1800"/>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[Record]</w:t>
            </w:r>
          </w:p>
        </w:tc>
      </w:tr>
      <w:tr>
        <w:trPr>
          <w:cantSplit/>
        </w:trPr>
        <w:tc>
          <w:tcPr>
            <w:tcW w:type="dxa" w:w="2088"/>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Usable files</w:t>
            </w:r>
          </w:p>
        </w:tc>
        <w:tc>
          <w:tcPr>
            <w:tcW w:type="dxa" w:w="6336"/>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Files open; units, timestamps, classes and dictionary agree; missing values are identifiable.</w:t>
            </w:r>
          </w:p>
        </w:tc>
        <w:tc>
          <w:tcPr>
            <w:tcW w:type="dxa" w:w="1800"/>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[Record]</w:t>
            </w:r>
          </w:p>
        </w:tc>
      </w:tr>
      <w:tr>
        <w:trPr>
          <w:cantSplit/>
        </w:trPr>
        <w:tc>
          <w:tcPr>
            <w:tcW w:type="dxa" w:w="2088"/>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Verified measurements</w:t>
            </w:r>
          </w:p>
        </w:tc>
        <w:tc>
          <w:tcPr>
            <w:tcW w:type="dxa" w:w="6336"/>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Validation results meet the agreed tolerance; corrections and any excluded records are documented.</w:t>
            </w:r>
          </w:p>
        </w:tc>
        <w:tc>
          <w:tcPr>
            <w:tcW w:type="dxa" w:w="1800"/>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[Record]</w:t>
            </w:r>
          </w:p>
        </w:tc>
      </w:tr>
      <w:tr>
        <w:trPr>
          <w:cantSplit/>
        </w:trPr>
        <w:tc>
          <w:tcPr>
            <w:tcW w:type="dxa" w:w="2088"/>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Clear interpretation</w:t>
            </w:r>
          </w:p>
        </w:tc>
        <w:tc>
          <w:tcPr>
            <w:tcW w:type="dxa" w:w="6336"/>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The results address the question and distinguish observations, estimates and limits.</w:t>
            </w:r>
          </w:p>
        </w:tc>
        <w:tc>
          <w:tcPr>
            <w:tcW w:type="dxa" w:w="1800"/>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[Record]</w:t>
            </w:r>
          </w:p>
        </w:tc>
      </w:tr>
      <w:tr>
        <w:trPr>
          <w:cantSplit/>
        </w:trPr>
        <w:tc>
          <w:tcPr>
            <w:tcW w:type="dxa" w:w="2088"/>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Complete transfer</w:t>
            </w:r>
          </w:p>
        </w:tc>
        <w:tc>
          <w:tcPr>
            <w:tcW w:type="dxa" w:w="6336"/>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Required source/processed files and approvals are delivered through the agreed route; retention/deletion obligations are recorded.</w:t>
            </w:r>
          </w:p>
        </w:tc>
        <w:tc>
          <w:tcPr>
            <w:tcW w:type="dxa" w:w="1800"/>
            <w:vAlign w:val="center"/>
            <w:shd w:fill="F3F4F4"/>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[Record]</w:t>
            </w:r>
          </w:p>
        </w:tc>
      </w:tr>
      <w:tr>
        <w:trPr>
          <w:cantSplit/>
        </w:trPr>
        <w:tc>
          <w:tcPr>
            <w:tcW w:type="dxa" w:w="2088"/>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Commercial close</w:t>
            </w:r>
          </w:p>
        </w:tc>
        <w:tc>
          <w:tcPr>
            <w:tcW w:type="dxa" w:w="6336"/>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Approved variations, delivered quantities, review responses and invoice reconcile.</w:t>
            </w:r>
          </w:p>
        </w:tc>
        <w:tc>
          <w:tcPr>
            <w:tcW w:type="dxa" w:w="1800"/>
            <w:vAlign w:val="center"/>
            <w:shd w:fill="FFFFFF"/>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line="252" w:lineRule="auto"/>
            </w:pPr>
            <w:r>
              <w:rPr>
                <w:rFonts w:ascii="Arial" w:hAnsi="Arial"/>
                <w:b w:val="0"/>
                <w:color w:val="000000"/>
                <w:sz w:val="20"/>
              </w:rPr>
              <w:t>[Record]</w:t>
            </w:r>
          </w:p>
        </w:tc>
      </w:tr>
    </w:tbl>
    <w:p>
      <w:pPr>
        <w:spacing w:after="0"/>
      </w:pPr>
      <w:r/>
    </w:p>
    <w:p>
      <w:pPr>
        <w:keepNext/>
        <w:spacing w:after="60"/>
      </w:pPr>
      <w:r>
        <w:rPr>
          <w:b/>
        </w:rPr>
        <w:t>Review outcome and corrections</w:t>
      </w:r>
    </w:p>
    <w:p>
      <w:pPr>
        <w:spacing w:after="180"/>
      </w:pPr>
      <w:r>
        <w:t>[Accepted or return for correction; outstanding items; supplier response date; record link]</w:t>
      </w:r>
    </w:p>
    <w:p>
      <w:pPr>
        <w:keepNext/>
        <w:spacing w:after="60"/>
      </w:pPr>
      <w:r>
        <w:rPr>
          <w:b/>
        </w:rPr>
        <w:t>Council reviewer and acceptance date</w:t>
      </w:r>
    </w:p>
    <w:p>
      <w:pPr>
        <w:spacing w:after="180"/>
      </w:pPr>
      <w:r>
        <w:t>[Name; role; date; acceptance authority]</w:t>
      </w:r>
    </w:p>
    <w:p>
      <w:pPr>
        <w:keepNext/>
        <w:spacing w:after="60"/>
      </w:pPr>
      <w:r>
        <w:rPr>
          <w:b/>
        </w:rPr>
        <w:t>Handover and retention</w:t>
      </w:r>
    </w:p>
    <w:p>
      <w:pPr>
        <w:spacing w:after="180"/>
      </w:pPr>
      <w:r>
        <w:t>[Data owner; storage location; approved users; licence restrictions; retention/deletion action and owner]</w:t>
      </w:r>
    </w:p>
    <w:p>
      <w:pPr>
        <w:pStyle w:val="Heading2"/>
      </w:pPr>
      <w:r>
        <w:t>Before issuing this scope</w:t>
      </w:r>
    </w:p>
    <w:p>
      <w:r>
        <w:t>Check every bracketed prompt is resolved or deliberately marked not applicable. Confirm the map, quantities, dates, validation tolerance and replacement rules. Obtain the organisation's technical and procurement review, attach its terms, and remove the worked example and template instructions.</w:t>
      </w:r>
    </w:p>
    <w:p>
      <w:r>
        <w:t>This is a technical survey brief. A design, formal Road Safety Audit, statutory decision or treatment evaluation needs its own defined scope and appropriately qualified review.</w:t>
      </w:r>
    </w:p>
    <w:p>
      <w:r>
        <w:br w:type="page"/>
      </w:r>
    </w:p>
    <w:p>
      <w:pPr>
        <w:pStyle w:val="Heading1"/>
      </w:pPr>
      <w:r>
        <w:t>Worked example for the template user</w:t>
      </w:r>
    </w:p>
    <w:p>
      <w:r>
        <w:t>Fictional illustration. Remove this page before issuing your brief. The selected periods and checks show how to make a specification explicit; they are not universal survey requirements.</w:t>
      </w:r>
    </w:p>
    <w:p>
      <w:pPr>
        <w:pStyle w:val="Heading2"/>
      </w:pPr>
      <w:r>
        <w:t>Question and boundary</w:t>
      </w:r>
    </w:p>
    <w:p>
      <w:r>
        <w:t>At the eastbound approach to the fictional Willow Street school entrance, how does the observed speed distribution differ between 8:00 to 9:00 am and 10:00 to 11:00 am on the surveyed school days? Council will use this to decide whether a wider speed investigation is warranted.</w:t>
      </w:r>
    </w:p>
    <w:p>
      <w:r>
        <w:t>An old survey west of the entrance does not cover the approach. Commission speed and volume at point P01 only. The work does not assess crossing safety or establish the cause of driver behaviour.</w:t>
      </w:r>
    </w:p>
    <w:p>
      <w:pPr>
        <w:pStyle w:val="Heading2"/>
      </w:pPr>
      <w:r>
        <w:t>Collection specification</w:t>
      </w:r>
    </w:p>
    <w:p>
      <w:r>
        <w:t>P01 is marked on the attached map with coordinates, direction and a fixed measurement line. Collect on three ordinary school-term weekdays in the two specified windows. Council confirms dates and the operating speed limits before booking. Exclude planned works and special events; agree replacement dates for disrupted windows.</w:t>
      </w:r>
    </w:p>
    <w:p>
      <w:r>
        <w:t>Supplier proposes a verified point-speed method. Provide 15-minute directional counts and speed distributions in km/h, sample counts and the operating limit for each interval. Keep each day's results separate. Justify the sample and report uncertainty; compare these windows only, without extrapolating to the school term.</w:t>
      </w:r>
    </w:p>
    <w:p>
      <w:pPr>
        <w:pStyle w:val="Heading2"/>
      </w:pPr>
      <w:r>
        <w:t>Delivery and acceptance</w:t>
      </w:r>
    </w:p>
    <w:p>
      <w:r>
        <w:t>Deliver a mapped collection log, permitted source records, CSV, data dictionary, quality report and a short results note. Agree the speed verification tolerance before award. Include a manual comparison of one selected 15-minute count interval in each window on each day; investigate any count difference above the agreed project tolerance.</w:t>
      </w:r>
    </w:p>
    <w:p>
      <w:r>
        <w:t>All six one-hour windows must be usable. Report a failed window by the next business day and obtain agreement on its replacement. The quote includes repeat collection for supplier equipment failure; council-directed changes are priced and approved separately.</w:t>
      </w:r>
    </w:p>
    <w:p>
      <w:pPr>
        <w:pStyle w:val="Heading2"/>
      </w:pPr>
      <w:r>
        <w:t>Quotation and review</w:t>
      </w:r>
    </w:p>
    <w:p>
      <w:r>
        <w:t>Price one point over three days, including processing, quality checks, the note and one council review round. Name the permit and field-safety owners. Council verifies the six windows, units, limits and quality results before accepting the output. The completed brief must still fill the project-specific rates, dates, tolerances and responsibilities.</w:t>
      </w:r>
    </w:p>
    <w:p>
      <w:pPr>
        <w:pStyle w:val="Heading2"/>
      </w:pPr>
      <w:r>
        <w:t>References</w:t>
      </w:r>
    </w:p>
    <w:p>
      <w:pPr>
        <w:spacing w:after="100"/>
      </w:pPr>
      <w:hyperlink r:id="rId11">
        <w:r>
          <w:rPr>
            <w:u w:val="single"/>
          </w:rPr>
          <w:t>Austroads  Guide to Traffic Management Part 3  Transport Studies and Analysis Methods</w:t>
        </w:r>
      </w:hyperlink>
    </w:p>
    <w:p>
      <w:pPr>
        <w:spacing w:after="100"/>
      </w:pPr>
      <w:hyperlink r:id="rId12">
        <w:r>
          <w:rPr>
            <w:u w:val="single"/>
          </w:rPr>
          <w:t>OAIC  Security cameras  Privacy coverage and state and territory requirements</w:t>
        </w:r>
      </w:hyperlink>
    </w:p>
    <w:p>
      <w:r>
        <w:t>The template clauses and example are XVision's practical drafting guidance. Confirm local requirements and the council's procurement terms for the specific commission.</w:t>
      </w:r>
    </w:p>
    <w:sectPr w:rsidR="00FC693F" w:rsidRPr="0006063C" w:rsidSect="00034616">
      <w:headerReference w:type="default" r:id="rId9"/>
      <w:footerReference w:type="default" r:id="rId10"/>
      <w:pgSz w:w="12240" w:h="15840"/>
      <w:pgMar w:top="1368" w:right="1008" w:bottom="936" w:left="1008" w:header="461"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color w:val="555555"/>
        <w:sz w:val="16"/>
      </w:rPr>
      <w:t>XVision  |  Traffic survey scope</w:t>
      <w:tab/>
    </w:r>
    <w:fldSimple w:instr="PAGE"/>
    <w:r>
      <w:rPr>
        <w:color w:val="555555"/>
        <w:sz w:val="16"/>
      </w:rPr>
      <w:t xml:space="preserve"> of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463040" cy="404841"/>
          <wp:docPr id="1" name="Picture 1" descr="XVision AI logo supplied by XVision"/>
          <wp:cNvGraphicFramePr>
            <a:graphicFrameLocks noChangeAspect="1"/>
          </wp:cNvGraphicFramePr>
          <a:graphic>
            <a:graphicData uri="http://schemas.openxmlformats.org/drawingml/2006/picture">
              <pic:pic>
                <pic:nvPicPr>
                  <pic:cNvPr id="0" name="xvision-supplied-black-wordmark.png"/>
                  <pic:cNvPicPr/>
                </pic:nvPicPr>
                <pic:blipFill>
                  <a:blip r:embed="rId1"/>
                  <a:stretch>
                    <a:fillRect/>
                  </a:stretch>
                </pic:blipFill>
                <pic:spPr>
                  <a:xfrm>
                    <a:off x="0" y="0"/>
                    <a:ext cx="1463040" cy="404841"/>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ustroads.gov.au/publications/traffic-management/agtm03" TargetMode="External"/><Relationship Id="rId12" Type="http://schemas.openxmlformats.org/officeDocument/2006/relationships/hyperlink" Target="https://www.oaic.gov.au/privacy/your-privacy-rights/surveillance-and-monitoring/security-camer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Traffic Survey Scope of Works</dc:title>
  <dc:subject>Editable technical brief for council traffic surveys</dc:subject>
  <dc:creator>XVision</dc:creator>
  <cp:keywords>traffic survey, scope of works, council, supplier brief</cp:keywords>
  <dc:description/>
  <cp:lastModifiedBy/>
  <cp:revision>1</cp:revision>
  <dcterms:created xsi:type="dcterms:W3CDTF">2013-12-23T23:15:00Z</dcterms:created>
  <dcterms:modified xsi:type="dcterms:W3CDTF">2013-12-23T23:15:00Z</dcterms:modified>
  <cp:category/>
</cp:coreProperties>
</file>