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pStyle w:val="Title"/>
        <w:spacing w:after="120"/>
      </w:pPr>
      <w:r>
        <w:rPr>
          <w:rFonts w:ascii="Aptos Display" w:hAnsi="Aptos Display"/>
          <w:color w:val="000000"/>
        </w:rPr>
        <w:t>Before and After Traffic Calming Evaluation Plan</w:t>
      </w:r>
    </w:p>
    <w:p>
      <w:pPr>
        <w:spacing w:after="240"/>
      </w:pPr>
      <w:r>
        <w:rPr>
          <w:rFonts w:ascii="Aptos" w:hAnsi="Aptos"/>
          <w:i/>
          <w:sz w:val="21"/>
        </w:rPr>
        <w:t>Editable working template for council officers and traffic consultants</w:t>
      </w:r>
    </w:p>
    <w:p>
      <w:pPr>
        <w:spacing w:after="140" w:line="269" w:lineRule="auto"/>
      </w:pPr>
      <w:r>
        <w:rPr>
          <w:rFonts w:ascii="Aptos" w:hAnsi="Aptos"/>
          <w:sz w:val="21"/>
        </w:rPr>
        <w:t>Use this plan before works are delivered. Record the location, question, baseline, after period, measures and context so later findings can be interpreted honestly. It supports descriptive monitoring and does not by itself establish causation or replace an authority approval, design brief or Road Safety Audit.</w:t>
      </w:r>
    </w:p>
    <w:p>
      <w:pPr>
        <w:pStyle w:val="Heading1"/>
        <w:spacing w:before="240" w:after="100"/>
      </w:pPr>
      <w:r>
        <w:rPr>
          <w:color w:val="000000"/>
        </w:rPr>
        <w:t>1 Project and decision record</w:t>
      </w:r>
    </w:p>
    <w:tbl>
      <w:tblPr>
        <w:tblW w:type="auto" w:w="0"/>
        <w:tblLayout w:type="fixed"/>
        <w:tblLook w:firstColumn="1" w:firstRow="1" w:lastColumn="0" w:lastRow="0" w:noHBand="0" w:noVBand="1" w:val="04A0"/>
      </w:tblPr>
      <w:tblGrid>
        <w:gridCol w:w="5112"/>
        <w:gridCol w:w="5112"/>
      </w:tblGrid>
      <w:tr>
        <w:tc>
          <w:tcPr>
            <w:tcW w:type="dxa" w:w="2951"/>
            <w:shd w:fill="EAF0F6"/>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color w:val="17365D"/>
                <w:sz w:val="19"/>
              </w:rPr>
              <w:t>Project reference</w:t>
            </w:r>
          </w:p>
        </w:tc>
        <w:tc>
          <w:tcPr>
            <w:tcW w:type="dxa" w:w="6408"/>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[Council or consultant reference]</w:t>
            </w:r>
          </w:p>
        </w:tc>
      </w:tr>
      <w:tr>
        <w:tc>
          <w:tcPr>
            <w:tcW w:type="dxa" w:w="2951"/>
            <w:shd w:fill="EAF0F6"/>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color w:val="17365D"/>
                <w:sz w:val="19"/>
              </w:rPr>
              <w:t>Exact location</w:t>
            </w:r>
          </w:p>
        </w:tc>
        <w:tc>
          <w:tcPr>
            <w:tcW w:type="dxa" w:w="6408"/>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[Road, limits, map link or location record]</w:t>
            </w:r>
          </w:p>
        </w:tc>
      </w:tr>
      <w:tr>
        <w:tc>
          <w:tcPr>
            <w:tcW w:type="dxa" w:w="2951"/>
            <w:shd w:fill="EAF0F6"/>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color w:val="17365D"/>
                <w:sz w:val="19"/>
              </w:rPr>
              <w:t>Change being evaluated</w:t>
            </w:r>
          </w:p>
        </w:tc>
        <w:tc>
          <w:tcPr>
            <w:tcW w:type="dxa" w:w="6408"/>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[Describe implemented or proposed traffic calming change]</w:t>
            </w:r>
          </w:p>
        </w:tc>
      </w:tr>
      <w:tr>
        <w:tc>
          <w:tcPr>
            <w:tcW w:type="dxa" w:w="2951"/>
            <w:shd w:fill="EAF0F6"/>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color w:val="17365D"/>
                <w:sz w:val="19"/>
              </w:rPr>
              <w:t>Decision this evaluation informs</w:t>
            </w:r>
          </w:p>
        </w:tc>
        <w:tc>
          <w:tcPr>
            <w:tcW w:type="dxa" w:w="6408"/>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[Funding, follow-up design, monitoring, wider rollout, other]</w:t>
            </w:r>
          </w:p>
        </w:tc>
      </w:tr>
      <w:tr>
        <w:tc>
          <w:tcPr>
            <w:tcW w:type="dxa" w:w="2951"/>
            <w:shd w:fill="EAF0F6"/>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color w:val="17365D"/>
                <w:sz w:val="19"/>
              </w:rPr>
              <w:t>Evaluation owner</w:t>
            </w:r>
          </w:p>
        </w:tc>
        <w:tc>
          <w:tcPr>
            <w:tcW w:type="dxa" w:w="6408"/>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[Name, role, organisation]</w:t>
            </w:r>
          </w:p>
        </w:tc>
      </w:tr>
    </w:tbl>
    <w:p>
      <w:pPr>
        <w:spacing w:after="20"/>
      </w:pPr>
    </w:p>
    <w:p>
      <w:pPr>
        <w:pStyle w:val="Heading1"/>
        <w:spacing w:before="240" w:after="100"/>
      </w:pPr>
      <w:r>
        <w:rPr>
          <w:color w:val="000000"/>
        </w:rPr>
        <w:t>2 Evaluation question and success measures</w:t>
      </w:r>
    </w:p>
    <w:tbl>
      <w:tblPr>
        <w:tblW w:type="auto" w:w="0"/>
        <w:tblLayout w:type="fixed"/>
        <w:tblLook w:firstColumn="1" w:firstRow="1" w:lastColumn="0" w:lastRow="0" w:noHBand="0" w:noVBand="1" w:val="04A0"/>
      </w:tblPr>
      <w:tblGrid>
        <w:gridCol w:w="5112"/>
        <w:gridCol w:w="5112"/>
      </w:tblGrid>
      <w:tr>
        <w:tc>
          <w:tcPr>
            <w:tcW w:type="dxa" w:w="2951"/>
            <w:shd w:fill="EAF0F6"/>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color w:val="17365D"/>
                <w:sz w:val="19"/>
              </w:rPr>
              <w:t>Primary question</w:t>
            </w:r>
          </w:p>
        </w:tc>
        <w:tc>
          <w:tcPr>
            <w:tcW w:type="dxa" w:w="6408"/>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[What changed at this location and why does it matter?]</w:t>
            </w:r>
          </w:p>
        </w:tc>
      </w:tr>
      <w:tr>
        <w:tc>
          <w:tcPr>
            <w:tcW w:type="dxa" w:w="2951"/>
            <w:shd w:fill="EAF0F6"/>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color w:val="17365D"/>
                <w:sz w:val="19"/>
              </w:rPr>
              <w:t>People and movements</w:t>
            </w:r>
          </w:p>
        </w:tc>
        <w:tc>
          <w:tcPr>
            <w:tcW w:type="dxa" w:w="6408"/>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[People walking, cycling, public transport, vehicles, freight, emergency access]</w:t>
            </w:r>
          </w:p>
        </w:tc>
      </w:tr>
      <w:tr>
        <w:tc>
          <w:tcPr>
            <w:tcW w:type="dxa" w:w="2951"/>
            <w:shd w:fill="EAF0F6"/>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color w:val="17365D"/>
                <w:sz w:val="19"/>
              </w:rPr>
              <w:t>Measures</w:t>
            </w:r>
          </w:p>
        </w:tc>
        <w:tc>
          <w:tcPr>
            <w:tcW w:type="dxa" w:w="6408"/>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[Speed, volume, route choice, crossing activity, conflicts, access, other]</w:t>
            </w:r>
          </w:p>
        </w:tc>
      </w:tr>
      <w:tr>
        <w:tc>
          <w:tcPr>
            <w:tcW w:type="dxa" w:w="2951"/>
            <w:shd w:fill="EAF0F6"/>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color w:val="17365D"/>
                <w:sz w:val="19"/>
              </w:rPr>
              <w:t>Interpretation boundary</w:t>
            </w:r>
          </w:p>
        </w:tc>
        <w:tc>
          <w:tcPr>
            <w:tcW w:type="dxa" w:w="6408"/>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[What this plan will not claim or measure]</w:t>
            </w:r>
          </w:p>
        </w:tc>
      </w:tr>
    </w:tbl>
    <w:p>
      <w:pPr>
        <w:spacing w:after="20"/>
      </w:pPr>
    </w:p>
    <w:p>
      <w:pPr>
        <w:pStyle w:val="Heading1"/>
        <w:spacing w:before="240" w:after="100"/>
      </w:pPr>
      <w:r>
        <w:rPr>
          <w:color w:val="000000"/>
        </w:rPr>
        <w:t>3 Before and after collection plan</w:t>
      </w:r>
    </w:p>
    <w:tbl>
      <w:tblPr>
        <w:tblW w:type="auto" w:w="0"/>
        <w:tblLayout w:type="fixed"/>
        <w:tblLook w:firstColumn="1" w:firstRow="1" w:lastColumn="0" w:lastRow="0" w:noHBand="0" w:noVBand="1" w:val="04A0"/>
      </w:tblPr>
      <w:tblGrid>
        <w:gridCol w:w="2556"/>
        <w:gridCol w:w="2556"/>
        <w:gridCol w:w="2556"/>
        <w:gridCol w:w="2556"/>
      </w:tblGrid>
      <w:tr>
        <w:tc>
          <w:tcPr>
            <w:tcW w:type="dxa" w:w="1800"/>
            <w:shd w:fill="17365D"/>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color w:val="FFFFFF"/>
                <w:sz w:val="19"/>
              </w:rPr>
              <w:t>Item</w:t>
            </w:r>
          </w:p>
        </w:tc>
        <w:tc>
          <w:tcPr>
            <w:tcW w:type="dxa" w:w="2520"/>
            <w:shd w:fill="17365D"/>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color w:val="FFFFFF"/>
                <w:sz w:val="19"/>
              </w:rPr>
              <w:t>Before condition</w:t>
            </w:r>
          </w:p>
        </w:tc>
        <w:tc>
          <w:tcPr>
            <w:tcW w:type="dxa" w:w="2520"/>
            <w:shd w:fill="17365D"/>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color w:val="FFFFFF"/>
                <w:sz w:val="19"/>
              </w:rPr>
              <w:t>After condition</w:t>
            </w:r>
          </w:p>
        </w:tc>
        <w:tc>
          <w:tcPr>
            <w:tcW w:type="dxa" w:w="2520"/>
            <w:shd w:fill="17365D"/>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color w:val="FFFFFF"/>
                <w:sz w:val="19"/>
              </w:rPr>
              <w:t>Notes or limitations</w:t>
            </w:r>
          </w:p>
        </w:tc>
      </w:tr>
      <w:tr>
        <w:tc>
          <w:tcPr>
            <w:tcW w:type="dxa" w:w="1800"/>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Collection dates and times</w:t>
            </w:r>
          </w:p>
        </w:tc>
        <w:tc>
          <w:tcPr>
            <w:tcW w:type="dxa" w:w="2520"/>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[Dates, days, periods]</w:t>
            </w:r>
          </w:p>
        </w:tc>
        <w:tc>
          <w:tcPr>
            <w:tcW w:type="dxa" w:w="2520"/>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[Dates, days, periods]</w:t>
            </w:r>
          </w:p>
        </w:tc>
        <w:tc>
          <w:tcPr>
            <w:tcW w:type="dxa" w:w="2520"/>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[Record school calendar, events, weather and works]</w:t>
            </w:r>
          </w:p>
        </w:tc>
      </w:tr>
      <w:tr>
        <w:tc>
          <w:tcPr>
            <w:tcW w:type="dxa" w:w="1800"/>
            <w:shd w:fill="F5F8FB"/>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Exact location and view</w:t>
            </w:r>
          </w:p>
        </w:tc>
        <w:tc>
          <w:tcPr>
            <w:tcW w:type="dxa" w:w="2520"/>
            <w:shd w:fill="F5F8FB"/>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[Map point, direction, camera/sensor view]</w:t>
            </w:r>
          </w:p>
        </w:tc>
        <w:tc>
          <w:tcPr>
            <w:tcW w:type="dxa" w:w="2520"/>
            <w:shd w:fill="F5F8FB"/>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[Same point and view where practical]</w:t>
            </w:r>
          </w:p>
        </w:tc>
        <w:tc>
          <w:tcPr>
            <w:tcW w:type="dxa" w:w="2520"/>
            <w:shd w:fill="F5F8FB"/>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[Explain any change]</w:t>
            </w:r>
          </w:p>
        </w:tc>
      </w:tr>
      <w:tr>
        <w:tc>
          <w:tcPr>
            <w:tcW w:type="dxa" w:w="1800"/>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Measures and method</w:t>
            </w:r>
          </w:p>
        </w:tc>
        <w:tc>
          <w:tcPr>
            <w:tcW w:type="dxa" w:w="2520"/>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[Method, source, units]</w:t>
            </w:r>
          </w:p>
        </w:tc>
        <w:tc>
          <w:tcPr>
            <w:tcW w:type="dxa" w:w="2520"/>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[Repeat method or state difference]</w:t>
            </w:r>
          </w:p>
        </w:tc>
        <w:tc>
          <w:tcPr>
            <w:tcW w:type="dxa" w:w="2520"/>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[QA and comparability]</w:t>
            </w:r>
          </w:p>
        </w:tc>
      </w:tr>
      <w:tr>
        <w:tc>
          <w:tcPr>
            <w:tcW w:type="dxa" w:w="1800"/>
            <w:shd w:fill="F5F8FB"/>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Site condition</w:t>
            </w:r>
          </w:p>
        </w:tc>
        <w:tc>
          <w:tcPr>
            <w:tcW w:type="dxa" w:w="2520"/>
            <w:shd w:fill="F5F8FB"/>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[Layout, signing, parking, temporary conditions]</w:t>
            </w:r>
          </w:p>
        </w:tc>
        <w:tc>
          <w:tcPr>
            <w:tcW w:type="dxa" w:w="2520"/>
            <w:shd w:fill="F5F8FB"/>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[Implemented condition]</w:t>
            </w:r>
          </w:p>
        </w:tc>
        <w:tc>
          <w:tcPr>
            <w:tcW w:type="dxa" w:w="2520"/>
            <w:shd w:fill="F5F8FB"/>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[Other changes affecting result]</w:t>
            </w:r>
          </w:p>
        </w:tc>
      </w:tr>
    </w:tbl>
    <w:p>
      <w:pPr>
        <w:spacing w:after="20"/>
      </w:pPr>
    </w:p>
    <w:p>
      <w:pPr>
        <w:pStyle w:val="Heading1"/>
        <w:spacing w:before="240" w:after="100"/>
      </w:pPr>
      <w:r>
        <w:rPr>
          <w:color w:val="000000"/>
        </w:rPr>
        <w:t>4 Comparison context and confounders</w:t>
      </w:r>
    </w:p>
    <w:tbl>
      <w:tblPr>
        <w:tblW w:type="auto" w:w="0"/>
        <w:tblLayout w:type="fixed"/>
        <w:tblLook w:firstColumn="1" w:firstRow="1" w:lastColumn="0" w:lastRow="0" w:noHBand="0" w:noVBand="1" w:val="04A0"/>
      </w:tblPr>
      <w:tblGrid>
        <w:gridCol w:w="5112"/>
        <w:gridCol w:w="5112"/>
      </w:tblGrid>
      <w:tr>
        <w:tc>
          <w:tcPr>
            <w:tcW w:type="dxa" w:w="2951"/>
            <w:shd w:fill="EAF0F6"/>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color w:val="17365D"/>
                <w:sz w:val="19"/>
              </w:rPr>
              <w:t>Likely influences</w:t>
            </w:r>
          </w:p>
        </w:tc>
        <w:tc>
          <w:tcPr>
            <w:tcW w:type="dxa" w:w="6408"/>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[Season, weather, school term, nearby works, diversion, enforcement, event, network changes]</w:t>
            </w:r>
          </w:p>
        </w:tc>
      </w:tr>
      <w:tr>
        <w:tc>
          <w:tcPr>
            <w:tcW w:type="dxa" w:w="2951"/>
            <w:shd w:fill="EAF0F6"/>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color w:val="17365D"/>
                <w:sz w:val="19"/>
              </w:rPr>
              <w:t>Comparable baseline</w:t>
            </w:r>
          </w:p>
        </w:tc>
        <w:tc>
          <w:tcPr>
            <w:tcW w:type="dxa" w:w="6408"/>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[Why the before record is or is not comparable]</w:t>
            </w:r>
          </w:p>
        </w:tc>
      </w:tr>
      <w:tr>
        <w:tc>
          <w:tcPr>
            <w:tcW w:type="dxa" w:w="2951"/>
            <w:shd w:fill="EAF0F6"/>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color w:val="17365D"/>
                <w:sz w:val="19"/>
              </w:rPr>
              <w:t>Control or reference</w:t>
            </w:r>
          </w:p>
        </w:tc>
        <w:tc>
          <w:tcPr>
            <w:tcW w:type="dxa" w:w="6408"/>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[If used, explain selection; otherwise state none]</w:t>
            </w:r>
          </w:p>
        </w:tc>
      </w:tr>
      <w:tr>
        <w:tc>
          <w:tcPr>
            <w:tcW w:type="dxa" w:w="2951"/>
            <w:shd w:fill="EAF0F6"/>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color w:val="17365D"/>
                <w:sz w:val="19"/>
              </w:rPr>
              <w:t>Causal claim</w:t>
            </w:r>
          </w:p>
        </w:tc>
        <w:tc>
          <w:tcPr>
            <w:tcW w:type="dxa" w:w="6408"/>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[Descriptive monitoring only / stronger method with stated advice]</w:t>
            </w:r>
          </w:p>
        </w:tc>
      </w:tr>
    </w:tbl>
    <w:p>
      <w:pPr>
        <w:spacing w:after="20"/>
      </w:pPr>
    </w:p>
    <w:p>
      <w:pPr>
        <w:pStyle w:val="Heading1"/>
        <w:spacing w:before="240" w:after="100"/>
      </w:pPr>
      <w:r>
        <w:rPr>
          <w:color w:val="000000"/>
        </w:rPr>
        <w:t>5 Data and deliverables</w:t>
      </w:r>
    </w:p>
    <w:tbl>
      <w:tblPr>
        <w:tblW w:type="auto" w:w="0"/>
        <w:tblLayout w:type="fixed"/>
        <w:tblLook w:firstColumn="1" w:firstRow="1" w:lastColumn="0" w:lastRow="0" w:noHBand="0" w:noVBand="1" w:val="04A0"/>
      </w:tblPr>
      <w:tblGrid>
        <w:gridCol w:w="2556"/>
        <w:gridCol w:w="2556"/>
        <w:gridCol w:w="2556"/>
        <w:gridCol w:w="2556"/>
      </w:tblGrid>
      <w:tr>
        <w:tc>
          <w:tcPr>
            <w:tcW w:type="dxa" w:w="1944"/>
            <w:shd w:fill="17365D"/>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color w:val="FFFFFF"/>
                <w:sz w:val="19"/>
              </w:rPr>
              <w:t>Deliverable</w:t>
            </w:r>
          </w:p>
        </w:tc>
        <w:tc>
          <w:tcPr>
            <w:tcW w:type="dxa" w:w="4031"/>
            <w:shd w:fill="17365D"/>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color w:val="FFFFFF"/>
                <w:sz w:val="19"/>
              </w:rPr>
              <w:t>Required content</w:t>
            </w:r>
          </w:p>
        </w:tc>
        <w:tc>
          <w:tcPr>
            <w:tcW w:type="dxa" w:w="1296"/>
            <w:shd w:fill="17365D"/>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color w:val="FFFFFF"/>
                <w:sz w:val="19"/>
              </w:rPr>
              <w:t>Owner</w:t>
            </w:r>
          </w:p>
        </w:tc>
        <w:tc>
          <w:tcPr>
            <w:tcW w:type="dxa" w:w="2088"/>
            <w:shd w:fill="17365D"/>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color w:val="FFFFFF"/>
                <w:sz w:val="19"/>
              </w:rPr>
              <w:t>Acceptance check</w:t>
            </w:r>
          </w:p>
        </w:tc>
      </w:tr>
      <w:tr>
        <w:tc>
          <w:tcPr>
            <w:tcW w:type="dxa" w:w="1944"/>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Collection metadata</w:t>
            </w:r>
          </w:p>
        </w:tc>
        <w:tc>
          <w:tcPr>
            <w:tcW w:type="dxa" w:w="4031"/>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Method, location, dates, settings, known gaps</w:t>
            </w:r>
          </w:p>
        </w:tc>
        <w:tc>
          <w:tcPr>
            <w:tcW w:type="dxa" w:w="1296"/>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[Name]</w:t>
            </w:r>
          </w:p>
        </w:tc>
        <w:tc>
          <w:tcPr>
            <w:tcW w:type="dxa" w:w="2088"/>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Complete and linked to location</w:t>
            </w:r>
          </w:p>
        </w:tc>
      </w:tr>
      <w:tr>
        <w:tc>
          <w:tcPr>
            <w:tcW w:type="dxa" w:w="1944"/>
            <w:shd w:fill="F5F8FB"/>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Raw and processed data</w:t>
            </w:r>
          </w:p>
        </w:tc>
        <w:tc>
          <w:tcPr>
            <w:tcW w:type="dxa" w:w="4031"/>
            <w:shd w:fill="F5F8FB"/>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Source files and understandable outputs</w:t>
            </w:r>
          </w:p>
        </w:tc>
        <w:tc>
          <w:tcPr>
            <w:tcW w:type="dxa" w:w="1296"/>
            <w:shd w:fill="F5F8FB"/>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[Name]</w:t>
            </w:r>
          </w:p>
        </w:tc>
        <w:tc>
          <w:tcPr>
            <w:tcW w:type="dxa" w:w="2088"/>
            <w:shd w:fill="F5F8FB"/>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Formats open and labelled</w:t>
            </w:r>
          </w:p>
        </w:tc>
      </w:tr>
      <w:tr>
        <w:tc>
          <w:tcPr>
            <w:tcW w:type="dxa" w:w="1944"/>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Site record</w:t>
            </w:r>
          </w:p>
        </w:tc>
        <w:tc>
          <w:tcPr>
            <w:tcW w:type="dxa" w:w="4031"/>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Maps, photos/notes where permitted, change dates</w:t>
            </w:r>
          </w:p>
        </w:tc>
        <w:tc>
          <w:tcPr>
            <w:tcW w:type="dxa" w:w="1296"/>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[Name]</w:t>
            </w:r>
          </w:p>
        </w:tc>
        <w:tc>
          <w:tcPr>
            <w:tcW w:type="dxa" w:w="2088"/>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Before and after match confirmed</w:t>
            </w:r>
          </w:p>
        </w:tc>
      </w:tr>
      <w:tr>
        <w:tc>
          <w:tcPr>
            <w:tcW w:type="dxa" w:w="1944"/>
            <w:shd w:fill="F5F8FB"/>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Evaluation summary</w:t>
            </w:r>
          </w:p>
        </w:tc>
        <w:tc>
          <w:tcPr>
            <w:tcW w:type="dxa" w:w="4031"/>
            <w:shd w:fill="F5F8FB"/>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Findings, limitations, recommendation and review trigger</w:t>
            </w:r>
          </w:p>
        </w:tc>
        <w:tc>
          <w:tcPr>
            <w:tcW w:type="dxa" w:w="1296"/>
            <w:shd w:fill="F5F8FB"/>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[Name]</w:t>
            </w:r>
          </w:p>
        </w:tc>
        <w:tc>
          <w:tcPr>
            <w:tcW w:type="dxa" w:w="2088"/>
            <w:shd w:fill="F5F8FB"/>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No unsupported causal claim</w:t>
            </w:r>
          </w:p>
        </w:tc>
      </w:tr>
    </w:tbl>
    <w:p>
      <w:pPr>
        <w:spacing w:after="20"/>
      </w:pPr>
    </w:p>
    <w:p>
      <w:pPr>
        <w:pStyle w:val="Heading1"/>
        <w:spacing w:before="240" w:after="100"/>
      </w:pPr>
      <w:r>
        <w:rPr>
          <w:color w:val="000000"/>
        </w:rPr>
        <w:t>6 Results table</w:t>
      </w:r>
    </w:p>
    <w:tbl>
      <w:tblPr>
        <w:tblW w:type="auto" w:w="0"/>
        <w:tblLayout w:type="fixed"/>
        <w:tblLook w:firstColumn="1" w:firstRow="1" w:lastColumn="0" w:lastRow="0" w:noHBand="0" w:noVBand="1" w:val="04A0"/>
      </w:tblPr>
      <w:tblGrid>
        <w:gridCol w:w="2556"/>
        <w:gridCol w:w="2556"/>
        <w:gridCol w:w="2556"/>
        <w:gridCol w:w="2556"/>
      </w:tblGrid>
      <w:tr>
        <w:tc>
          <w:tcPr>
            <w:tcW w:type="dxa" w:w="2015"/>
            <w:shd w:fill="17365D"/>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color w:val="FFFFFF"/>
                <w:sz w:val="19"/>
              </w:rPr>
              <w:t>Measure</w:t>
            </w:r>
          </w:p>
        </w:tc>
        <w:tc>
          <w:tcPr>
            <w:tcW w:type="dxa" w:w="1800"/>
            <w:shd w:fill="17365D"/>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color w:val="FFFFFF"/>
                <w:sz w:val="19"/>
              </w:rPr>
              <w:t>Before</w:t>
            </w:r>
          </w:p>
        </w:tc>
        <w:tc>
          <w:tcPr>
            <w:tcW w:type="dxa" w:w="1800"/>
            <w:shd w:fill="17365D"/>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color w:val="FFFFFF"/>
                <w:sz w:val="19"/>
              </w:rPr>
              <w:t>After</w:t>
            </w:r>
          </w:p>
        </w:tc>
        <w:tc>
          <w:tcPr>
            <w:tcW w:type="dxa" w:w="3888"/>
            <w:shd w:fill="17365D"/>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color w:val="FFFFFF"/>
                <w:sz w:val="19"/>
              </w:rPr>
              <w:t>Context and interpretation</w:t>
            </w:r>
          </w:p>
        </w:tc>
      </w:tr>
      <w:tr>
        <w:tc>
          <w:tcPr>
            <w:tcW w:type="dxa" w:w="2015"/>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[Measure 1]</w:t>
            </w:r>
          </w:p>
        </w:tc>
        <w:tc>
          <w:tcPr>
            <w:tcW w:type="dxa" w:w="1800"/>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[Result]</w:t>
            </w:r>
          </w:p>
        </w:tc>
        <w:tc>
          <w:tcPr>
            <w:tcW w:type="dxa" w:w="1800"/>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[Result]</w:t>
            </w:r>
          </w:p>
        </w:tc>
        <w:tc>
          <w:tcPr>
            <w:tcW w:type="dxa" w:w="3888"/>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[State relevant conditions and limit]</w:t>
            </w:r>
          </w:p>
        </w:tc>
      </w:tr>
      <w:tr>
        <w:tc>
          <w:tcPr>
            <w:tcW w:type="dxa" w:w="2015"/>
            <w:shd w:fill="F5F8FB"/>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[Measure 2]</w:t>
            </w:r>
          </w:p>
        </w:tc>
        <w:tc>
          <w:tcPr>
            <w:tcW w:type="dxa" w:w="1800"/>
            <w:shd w:fill="F5F8FB"/>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[Result]</w:t>
            </w:r>
          </w:p>
        </w:tc>
        <w:tc>
          <w:tcPr>
            <w:tcW w:type="dxa" w:w="1800"/>
            <w:shd w:fill="F5F8FB"/>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[Result]</w:t>
            </w:r>
          </w:p>
        </w:tc>
        <w:tc>
          <w:tcPr>
            <w:tcW w:type="dxa" w:w="3888"/>
            <w:shd w:fill="F5F8FB"/>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[State relevant conditions and limit]</w:t>
            </w:r>
          </w:p>
        </w:tc>
      </w:tr>
      <w:tr>
        <w:tc>
          <w:tcPr>
            <w:tcW w:type="dxa" w:w="2015"/>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[Measure 3]</w:t>
            </w:r>
          </w:p>
        </w:tc>
        <w:tc>
          <w:tcPr>
            <w:tcW w:type="dxa" w:w="1800"/>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[Result]</w:t>
            </w:r>
          </w:p>
        </w:tc>
        <w:tc>
          <w:tcPr>
            <w:tcW w:type="dxa" w:w="1800"/>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[Result]</w:t>
            </w:r>
          </w:p>
        </w:tc>
        <w:tc>
          <w:tcPr>
            <w:tcW w:type="dxa" w:w="3888"/>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[State relevant conditions and limit]</w:t>
            </w:r>
          </w:p>
        </w:tc>
      </w:tr>
      <w:tr>
        <w:tc>
          <w:tcPr>
            <w:tcW w:type="dxa" w:w="2015"/>
            <w:shd w:fill="F5F8FB"/>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Overall finding</w:t>
            </w:r>
          </w:p>
        </w:tc>
        <w:tc>
          <w:tcPr>
            <w:tcW w:type="dxa" w:w="1800"/>
            <w:shd w:fill="F5F8FB"/>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r>
          </w:p>
        </w:tc>
        <w:tc>
          <w:tcPr>
            <w:tcW w:type="dxa" w:w="1800"/>
            <w:shd w:fill="F5F8FB"/>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r>
          </w:p>
        </w:tc>
        <w:tc>
          <w:tcPr>
            <w:tcW w:type="dxa" w:w="3888"/>
            <w:shd w:fill="F5F8FB"/>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[What can be concluded and what cannot]</w:t>
            </w:r>
          </w:p>
        </w:tc>
      </w:tr>
    </w:tbl>
    <w:p>
      <w:pPr>
        <w:spacing w:after="20"/>
      </w:pPr>
    </w:p>
    <w:p>
      <w:pPr>
        <w:pStyle w:val="Heading1"/>
        <w:spacing w:before="240" w:after="100"/>
      </w:pPr>
      <w:r>
        <w:rPr>
          <w:color w:val="000000"/>
        </w:rPr>
        <w:t>7 Recommendation and review</w:t>
      </w:r>
    </w:p>
    <w:tbl>
      <w:tblPr>
        <w:tblW w:type="auto" w:w="0"/>
        <w:tblLayout w:type="fixed"/>
        <w:tblLook w:firstColumn="1" w:firstRow="1" w:lastColumn="0" w:lastRow="0" w:noHBand="0" w:noVBand="1" w:val="04A0"/>
      </w:tblPr>
      <w:tblGrid>
        <w:gridCol w:w="5112"/>
        <w:gridCol w:w="5112"/>
      </w:tblGrid>
      <w:tr>
        <w:tc>
          <w:tcPr>
            <w:tcW w:type="dxa" w:w="2951"/>
            <w:shd w:fill="EAF0F6"/>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color w:val="17365D"/>
                <w:sz w:val="19"/>
              </w:rPr>
              <w:t>Recommendation</w:t>
            </w:r>
          </w:p>
        </w:tc>
        <w:tc>
          <w:tcPr>
            <w:tcW w:type="dxa" w:w="6408"/>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[Continue monitoring, refine assessment, progress another action, close with review trigger]</w:t>
            </w:r>
          </w:p>
        </w:tc>
      </w:tr>
      <w:tr>
        <w:tc>
          <w:tcPr>
            <w:tcW w:type="dxa" w:w="2951"/>
            <w:shd w:fill="EAF0F6"/>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color w:val="17365D"/>
                <w:sz w:val="19"/>
              </w:rPr>
              <w:t>Reasoning</w:t>
            </w:r>
          </w:p>
        </w:tc>
        <w:tc>
          <w:tcPr>
            <w:tcW w:type="dxa" w:w="6408"/>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[Reference results, limitations and context]</w:t>
            </w:r>
          </w:p>
        </w:tc>
      </w:tr>
      <w:tr>
        <w:tc>
          <w:tcPr>
            <w:tcW w:type="dxa" w:w="2951"/>
            <w:shd w:fill="EAF0F6"/>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color w:val="17365D"/>
                <w:sz w:val="19"/>
              </w:rPr>
              <w:t>Next review trigger</w:t>
            </w:r>
          </w:p>
        </w:tc>
        <w:tc>
          <w:tcPr>
            <w:tcW w:type="dxa" w:w="6408"/>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[Date, changed conditions, new evidence or project milestone]</w:t>
            </w:r>
          </w:p>
        </w:tc>
      </w:tr>
      <w:tr>
        <w:tc>
          <w:tcPr>
            <w:tcW w:type="dxa" w:w="2951"/>
            <w:shd w:fill="EAF0F6"/>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color w:val="17365D"/>
                <w:sz w:val="19"/>
              </w:rPr>
              <w:t>Reviewed by</w:t>
            </w:r>
          </w:p>
        </w:tc>
        <w:tc>
          <w:tcPr>
            <w:tcW w:type="dxa" w:w="6408"/>
            <w:vAlign w:val="center"/>
            <w:tcMar>
              <w:top w:w="100" w:type="dxa"/>
              <w:start w:w="120" w:type="dxa"/>
              <w:bottom w:w="10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
              <w:rPr>
                <w:rFonts w:ascii="Aptos" w:hAnsi="Aptos"/>
                <w:b w:val="0"/>
                <w:color w:val="000000"/>
                <w:sz w:val="19"/>
              </w:rPr>
              <w:t>[Name, role, date]</w:t>
            </w:r>
          </w:p>
        </w:tc>
      </w:tr>
    </w:tbl>
    <w:p>
      <w:pPr>
        <w:spacing w:after="20"/>
      </w:pPr>
    </w:p>
    <w:p>
      <w:pPr>
        <w:pStyle w:val="Heading2"/>
        <w:spacing w:before="160" w:after="100"/>
      </w:pPr>
      <w:r>
        <w:rPr>
          <w:color w:val="000000"/>
        </w:rPr>
        <w:t>Practitioner note</w:t>
      </w:r>
    </w:p>
    <w:p>
      <w:pPr>
        <w:spacing w:after="140" w:line="269" w:lineRule="auto"/>
      </w:pPr>
      <w:r>
        <w:rPr>
          <w:rFonts w:ascii="Aptos" w:hAnsi="Aptos"/>
          <w:sz w:val="21"/>
        </w:rPr>
        <w:t>Austroads guidance on evaluating road safety treatments explains that before and after methods have different data needs and validity risks. Apply the current requirements of the responsible road authority and seek suitably qualified advice where the finding will support a formal or causal claim.</w:t>
      </w:r>
    </w:p>
    <w:sectPr>
      <w:headerReference r:id="rId8" w:type="default"/>
      <w:footerReference r:id="rId9" w:type="default"/>
      <w:pgSz w:h="15840" w:w="12240" w:orient="portrait"/>
      <w:pgMar w:bottom="864" w:top="936"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14:paraId="00000116">
    <w:pPr>
      <w:jc w:val="center"/>
      <w:rPr>
        <w:color w:val="002715"/>
      </w:rPr>
    </w:pPr>
    <w:r>
      <w:rPr>
        <w:rFonts w:ascii="Aptos" w:hAnsi="Aptos"/>
        <w:color w:val="5F5F5F"/>
        <w:sz w:val="16"/>
      </w:rPr>
      <w:t>Before and After Traffic Calming Evaluation Plan  |  Editable working template</w:t>
    </w:r>
  </w:p>
  <w:sdt>
    <w:sdtPr>
      <w:lock w:val="contentLocked"/>
      <w:id w:val="-913180812"/>
      <w:tag w:val="goog_rdk_0"/>
    </w:sdtPr>
    <w:sdtContent>
      <w:tbl>
        <w:tblPr>
          <w:tblStyle w:val="Table9"/>
          <w:tblW w:w="9360.0" w:type="dxa"/>
          <w:jc w:val="left"/>
          <w:tblLayout w:type="fixed"/>
          <w:tblLook w:val="0600"/>
        </w:tblPr>
        <w:tblGrid>
          <w:gridCol w:w="4680"/>
          <w:gridCol w:w="4680"/>
          <w:tblGridChange w:id="0">
            <w:tblGrid>
              <w:gridCol w:w="4680"/>
              <w:gridCol w:w="468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color w:val="105128"/>
                  <w:sz w:val="18"/>
                  <w:szCs w:val="18"/>
                </w:rPr>
              </w:pPr>
              <w:r>
                <w:rPr>
                  <w:rFonts w:ascii="Georgia" w:cs="Georgia" w:eastAsia="Georgia" w:hAnsi="Georgia"/>
                  <w:color w:val="105128"/>
                  <w:sz w:val="18"/>
                  <w:szCs w:val="18"/>
                  <w:rtl w:val="0"/>
                </w:rPr>
                <w:t xml:space="preserve">Report Name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14:paraId="000001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Georgia" w:cs="Georgia" w:eastAsia="Georgia" w:hAnsi="Georgia"/>
                  <w:color w:val="105128"/>
                  <w:sz w:val="18"/>
                  <w:szCs w:val="18"/>
                </w:rPr>
              </w:pPr>
              <w:r>
                <w:rPr>
                  <w:rFonts w:ascii="Georgia" w:cs="Georgia" w:eastAsia="Georgia" w:hAnsi="Georgia"/>
                  <w:color w:val="105128"/>
                  <w:sz w:val="18"/>
                  <w:szCs w:val="18"/>
                </w:rPr>
                <w:fldChar w:fldCharType="begin"/>
                <w:instrText xml:space="preserve">PAGE</w:instrText>
                <w:fldChar w:fldCharType="separate"/>
                <w:fldChar w:fldCharType="end"/>
              </w:r>
              <w:r>
                <w:rPr>
                  <w:rtl w:val="0"/>
                </w:rPr>
              </w:r>
            </w:p>
          </w:tc>
        </w:tr>
      </w:tbl>
    </w:sdtContent>
  </w:sdt>
  <w:p w14:paraId="00000119">
    <w:pPr>
      <w:rPr>
        <w:color w:val="002715"/>
      </w:rPr>
    </w:pPr>
    <w:r>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14:paraId="00000115">
    <w:pPr>
      <w:rPr/>
    </w:pPr>
    <w:r>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643" w:hanging="360"/>
      </w:pPr>
      <w:rPr/>
    </w:lvl>
    <w:lvl w:ilvl="1">
      <w:start w:val="1"/>
      <w:numFmt w:val="lowerLetter"/>
      <w:lvlText w:val="%2."/>
      <w:lvlJc w:val="left"/>
      <w:pPr>
        <w:ind w:left="1363" w:hanging="359.99999999999955"/>
      </w:pPr>
      <w:rPr/>
    </w:lvl>
    <w:lvl w:ilvl="2">
      <w:start w:val="1"/>
      <w:numFmt w:val="lowerRoman"/>
      <w:lvlText w:val="%3."/>
      <w:lvlJc w:val="right"/>
      <w:pPr>
        <w:ind w:left="2083" w:hanging="180"/>
      </w:pPr>
      <w:rPr/>
    </w:lvl>
    <w:lvl w:ilvl="3">
      <w:start w:val="1"/>
      <w:numFmt w:val="decimal"/>
      <w:lvlText w:val="%4."/>
      <w:lvlJc w:val="left"/>
      <w:pPr>
        <w:ind w:left="2803" w:hanging="360"/>
      </w:pPr>
      <w:rPr/>
    </w:lvl>
    <w:lvl w:ilvl="4">
      <w:start w:val="1"/>
      <w:numFmt w:val="lowerLetter"/>
      <w:lvlText w:val="%5."/>
      <w:lvlJc w:val="left"/>
      <w:pPr>
        <w:ind w:left="3523" w:hanging="360"/>
      </w:pPr>
      <w:rPr/>
    </w:lvl>
    <w:lvl w:ilvl="5">
      <w:start w:val="1"/>
      <w:numFmt w:val="lowerRoman"/>
      <w:lvlText w:val="%6."/>
      <w:lvlJc w:val="right"/>
      <w:pPr>
        <w:ind w:left="4243" w:hanging="180"/>
      </w:pPr>
      <w:rPr/>
    </w:lvl>
    <w:lvl w:ilvl="6">
      <w:start w:val="1"/>
      <w:numFmt w:val="decimal"/>
      <w:lvlText w:val="%7."/>
      <w:lvlJc w:val="left"/>
      <w:pPr>
        <w:ind w:left="4963" w:hanging="360"/>
      </w:pPr>
      <w:rPr/>
    </w:lvl>
    <w:lvl w:ilvl="7">
      <w:start w:val="1"/>
      <w:numFmt w:val="lowerLetter"/>
      <w:lvlText w:val="%8."/>
      <w:lvlJc w:val="left"/>
      <w:pPr>
        <w:ind w:left="5683" w:hanging="360"/>
      </w:pPr>
      <w:rPr/>
    </w:lvl>
    <w:lvl w:ilvl="8">
      <w:start w:val="1"/>
      <w:numFmt w:val="lowerRoman"/>
      <w:lvlText w:val="%9."/>
      <w:lvlJc w:val="right"/>
      <w:pPr>
        <w:ind w:left="6403" w:hanging="180"/>
      </w:pPr>
      <w:rPr/>
    </w:lvl>
  </w:abstractNum>
  <w:abstractNum w:abstractNumId="4">
    <w:lvl w:ilvl="0">
      <w:start w:val="1"/>
      <w:numFmt w:val="bullet"/>
      <w:lvlText w:val="●"/>
      <w:lvlJc w:val="left"/>
      <w:pPr>
        <w:ind w:left="502" w:hanging="360"/>
      </w:pPr>
      <w:rPr>
        <w:rFonts w:ascii="Noto Sans Symbols" w:cs="Noto Sans Symbols" w:eastAsia="Noto Sans Symbols" w:hAnsi="Noto Sans Symbols"/>
      </w:rPr>
    </w:lvl>
    <w:lvl w:ilvl="1">
      <w:start w:val="1"/>
      <w:numFmt w:val="bullet"/>
      <w:lvlText w:val="o"/>
      <w:lvlJc w:val="left"/>
      <w:pPr>
        <w:ind w:left="1222" w:hanging="360"/>
      </w:pPr>
      <w:rPr>
        <w:rFonts w:ascii="Courier New" w:cs="Courier New" w:eastAsia="Courier New" w:hAnsi="Courier New"/>
      </w:rPr>
    </w:lvl>
    <w:lvl w:ilvl="2">
      <w:start w:val="1"/>
      <w:numFmt w:val="bullet"/>
      <w:lvlText w:val="▪"/>
      <w:lvlJc w:val="left"/>
      <w:pPr>
        <w:ind w:left="1942" w:hanging="360"/>
      </w:pPr>
      <w:rPr>
        <w:rFonts w:ascii="Noto Sans Symbols" w:cs="Noto Sans Symbols" w:eastAsia="Noto Sans Symbols" w:hAnsi="Noto Sans Symbols"/>
      </w:rPr>
    </w:lvl>
    <w:lvl w:ilvl="3">
      <w:start w:val="1"/>
      <w:numFmt w:val="bullet"/>
      <w:lvlText w:val="●"/>
      <w:lvlJc w:val="left"/>
      <w:pPr>
        <w:ind w:left="2662" w:hanging="360"/>
      </w:pPr>
      <w:rPr>
        <w:rFonts w:ascii="Noto Sans Symbols" w:cs="Noto Sans Symbols" w:eastAsia="Noto Sans Symbols" w:hAnsi="Noto Sans Symbols"/>
      </w:rPr>
    </w:lvl>
    <w:lvl w:ilvl="4">
      <w:start w:val="1"/>
      <w:numFmt w:val="bullet"/>
      <w:lvlText w:val="o"/>
      <w:lvlJc w:val="left"/>
      <w:pPr>
        <w:ind w:left="3382" w:hanging="360"/>
      </w:pPr>
      <w:rPr>
        <w:rFonts w:ascii="Courier New" w:cs="Courier New" w:eastAsia="Courier New" w:hAnsi="Courier New"/>
      </w:rPr>
    </w:lvl>
    <w:lvl w:ilvl="5">
      <w:start w:val="1"/>
      <w:numFmt w:val="bullet"/>
      <w:lvlText w:val="▪"/>
      <w:lvlJc w:val="left"/>
      <w:pPr>
        <w:ind w:left="4102" w:hanging="360"/>
      </w:pPr>
      <w:rPr>
        <w:rFonts w:ascii="Noto Sans Symbols" w:cs="Noto Sans Symbols" w:eastAsia="Noto Sans Symbols" w:hAnsi="Noto Sans Symbols"/>
      </w:rPr>
    </w:lvl>
    <w:lvl w:ilvl="6">
      <w:start w:val="1"/>
      <w:numFmt w:val="bullet"/>
      <w:lvlText w:val="●"/>
      <w:lvlJc w:val="left"/>
      <w:pPr>
        <w:ind w:left="4822" w:hanging="360"/>
      </w:pPr>
      <w:rPr>
        <w:rFonts w:ascii="Noto Sans Symbols" w:cs="Noto Sans Symbols" w:eastAsia="Noto Sans Symbols" w:hAnsi="Noto Sans Symbols"/>
      </w:rPr>
    </w:lvl>
    <w:lvl w:ilvl="7">
      <w:start w:val="1"/>
      <w:numFmt w:val="bullet"/>
      <w:lvlText w:val="o"/>
      <w:lvlJc w:val="left"/>
      <w:pPr>
        <w:ind w:left="5542" w:hanging="360"/>
      </w:pPr>
      <w:rPr>
        <w:rFonts w:ascii="Courier New" w:cs="Courier New" w:eastAsia="Courier New" w:hAnsi="Courier New"/>
      </w:rPr>
    </w:lvl>
    <w:lvl w:ilvl="8">
      <w:start w:val="1"/>
      <w:numFmt w:val="bullet"/>
      <w:lvlText w:val="▪"/>
      <w:lvlJc w:val="left"/>
      <w:pPr>
        <w:ind w:left="6262" w:hanging="360"/>
      </w:pPr>
      <w:rPr>
        <w:rFonts w:ascii="Noto Sans Symbols" w:cs="Noto Sans Symbols" w:eastAsia="Noto Sans Symbols" w:hAnsi="Noto Sans Symbols"/>
      </w:rPr>
    </w:lvl>
  </w:abstractNum>
  <w:abstractNum w:abstractNumId="5">
    <w:lvl w:ilvl="0">
      <w:start w:val="1"/>
      <w:numFmt w:val="bullet"/>
      <w:lvlText w:val="●"/>
      <w:lvlJc w:val="left"/>
      <w:pPr>
        <w:ind w:left="643" w:hanging="360"/>
      </w:pPr>
      <w:rPr>
        <w:rFonts w:ascii="Noto Sans Symbols" w:cs="Noto Sans Symbols" w:eastAsia="Noto Sans Symbols" w:hAnsi="Noto Sans Symbols"/>
      </w:rPr>
    </w:lvl>
    <w:lvl w:ilvl="1">
      <w:start w:val="1"/>
      <w:numFmt w:val="bullet"/>
      <w:lvlText w:val="o"/>
      <w:lvlJc w:val="left"/>
      <w:pPr>
        <w:ind w:left="1363" w:hanging="359.99999999999955"/>
      </w:pPr>
      <w:rPr>
        <w:rFonts w:ascii="Courier New" w:cs="Courier New" w:eastAsia="Courier New" w:hAnsi="Courier New"/>
      </w:rPr>
    </w:lvl>
    <w:lvl w:ilvl="2">
      <w:start w:val="1"/>
      <w:numFmt w:val="bullet"/>
      <w:lvlText w:val="▪"/>
      <w:lvlJc w:val="left"/>
      <w:pPr>
        <w:ind w:left="2083" w:hanging="360"/>
      </w:pPr>
      <w:rPr>
        <w:rFonts w:ascii="Noto Sans Symbols" w:cs="Noto Sans Symbols" w:eastAsia="Noto Sans Symbols" w:hAnsi="Noto Sans Symbols"/>
      </w:rPr>
    </w:lvl>
    <w:lvl w:ilvl="3">
      <w:start w:val="1"/>
      <w:numFmt w:val="bullet"/>
      <w:lvlText w:val="●"/>
      <w:lvlJc w:val="left"/>
      <w:pPr>
        <w:ind w:left="2803" w:hanging="360"/>
      </w:pPr>
      <w:rPr>
        <w:rFonts w:ascii="Noto Sans Symbols" w:cs="Noto Sans Symbols" w:eastAsia="Noto Sans Symbols" w:hAnsi="Noto Sans Symbols"/>
      </w:rPr>
    </w:lvl>
    <w:lvl w:ilvl="4">
      <w:start w:val="1"/>
      <w:numFmt w:val="bullet"/>
      <w:lvlText w:val="o"/>
      <w:lvlJc w:val="left"/>
      <w:pPr>
        <w:ind w:left="3523" w:hanging="360"/>
      </w:pPr>
      <w:rPr>
        <w:rFonts w:ascii="Courier New" w:cs="Courier New" w:eastAsia="Courier New" w:hAnsi="Courier New"/>
      </w:rPr>
    </w:lvl>
    <w:lvl w:ilvl="5">
      <w:start w:val="1"/>
      <w:numFmt w:val="bullet"/>
      <w:lvlText w:val="▪"/>
      <w:lvlJc w:val="left"/>
      <w:pPr>
        <w:ind w:left="4243" w:hanging="360"/>
      </w:pPr>
      <w:rPr>
        <w:rFonts w:ascii="Noto Sans Symbols" w:cs="Noto Sans Symbols" w:eastAsia="Noto Sans Symbols" w:hAnsi="Noto Sans Symbols"/>
      </w:rPr>
    </w:lvl>
    <w:lvl w:ilvl="6">
      <w:start w:val="1"/>
      <w:numFmt w:val="bullet"/>
      <w:lvlText w:val="●"/>
      <w:lvlJc w:val="left"/>
      <w:pPr>
        <w:ind w:left="4963" w:hanging="360"/>
      </w:pPr>
      <w:rPr>
        <w:rFonts w:ascii="Noto Sans Symbols" w:cs="Noto Sans Symbols" w:eastAsia="Noto Sans Symbols" w:hAnsi="Noto Sans Symbols"/>
      </w:rPr>
    </w:lvl>
    <w:lvl w:ilvl="7">
      <w:start w:val="1"/>
      <w:numFmt w:val="bullet"/>
      <w:lvlText w:val="o"/>
      <w:lvlJc w:val="left"/>
      <w:pPr>
        <w:ind w:left="5683" w:hanging="360"/>
      </w:pPr>
      <w:rPr>
        <w:rFonts w:ascii="Courier New" w:cs="Courier New" w:eastAsia="Courier New" w:hAnsi="Courier New"/>
      </w:rPr>
    </w:lvl>
    <w:lvl w:ilvl="8">
      <w:start w:val="1"/>
      <w:numFmt w:val="bullet"/>
      <w:lvlText w:val="▪"/>
      <w:lvlJc w:val="left"/>
      <w:pPr>
        <w:ind w:left="6403"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Georgia" w:cs="Georgia" w:eastAsia="Georgia" w:hAnsi="Georgia"/>
      <w:b w:val="1"/>
      <w:bCs w:val="1"/>
      <w:color w:val="1a703a"/>
      <w:sz w:val="36"/>
      <w:szCs w:val="36"/>
    </w:rPr>
  </w:style>
  <w:style w:type="paragraph" w:styleId="Heading2">
    <w:name w:val="heading 2"/>
    <w:basedOn w:val="Normal"/>
    <w:next w:val="Normal"/>
    <w:pPr>
      <w:keepNext w:val="1"/>
      <w:keepLines w:val="1"/>
      <w:spacing w:before="160" w:lineRule="auto"/>
      <w:jc w:val="center"/>
    </w:pPr>
    <w:rPr>
      <w:rFonts w:ascii="Georgia" w:cs="Georgia" w:eastAsia="Georgia" w:hAnsi="Georgia"/>
      <w:color w:val="592382"/>
      <w:sz w:val="32"/>
      <w:szCs w:val="32"/>
    </w:rPr>
  </w:style>
  <w:style w:type="paragraph" w:styleId="Heading3">
    <w:name w:val="heading 3"/>
    <w:basedOn w:val="Normal"/>
    <w:next w:val="Normal"/>
    <w:pPr>
      <w:keepNext w:val="1"/>
      <w:keepLines w:val="1"/>
      <w:spacing w:before="160" w:lineRule="auto"/>
      <w:jc w:val="center"/>
    </w:pPr>
    <w:rPr>
      <w:rFonts w:ascii="Georgia" w:cs="Georgia" w:eastAsia="Georgia" w:hAnsi="Georgia"/>
      <w:color w:val="592382"/>
    </w:rPr>
  </w:style>
  <w:style w:type="paragraph" w:styleId="Heading4">
    <w:name w:val="heading 4"/>
    <w:basedOn w:val="Normal"/>
    <w:next w:val="Normal"/>
    <w:pPr>
      <w:keepNext w:val="1"/>
      <w:keepLines w:val="1"/>
      <w:spacing w:after="40" w:before="80" w:lineRule="auto"/>
    </w:pPr>
    <w:rPr>
      <w:i w:val="1"/>
      <w:iCs w:val="1"/>
      <w:color w:val="37233f"/>
    </w:rPr>
  </w:style>
  <w:style w:type="paragraph" w:styleId="Heading5">
    <w:name w:val="heading 5"/>
    <w:basedOn w:val="Normal"/>
    <w:next w:val="Normal"/>
    <w:pPr>
      <w:keepNext w:val="1"/>
      <w:keepLines w:val="1"/>
      <w:spacing w:after="40" w:before="80" w:lineRule="auto"/>
    </w:pPr>
    <w:rPr>
      <w:color w:val="37233f"/>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jc w:val="center"/>
    </w:pPr>
    <w:rPr>
      <w:b w:val="1"/>
      <w:bCs w:val="1"/>
      <w:color w:val="4a2e5f"/>
      <w:sz w:val="80"/>
      <w:szCs w:val="80"/>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Before and After Traffic Calming Evaluation Plan</dc:title>
  <cp:lastModifiedBy>python-docx</cp:lastModifiedBy>
  <cp:revision>1</cp:revision>
  <dcterms:modified xsi:type="dcterms:W3CDTF">2026-09-10T03:50:19Z</dcterms:modified>
  <dc:subject>Editable template</dc:subject>
  <dc:creator>XVision</dc:creator>
</cp:coreProperties>
</file>